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pPr>
    </w:p>
    <w:p>
      <w:pPr>
        <w:ind w:firstLine="0" w:firstLineChars="0"/>
        <w:jc w:val="center"/>
        <w:rPr>
          <w:sz w:val="44"/>
          <w:szCs w:val="44"/>
        </w:rPr>
      </w:pPr>
    </w:p>
    <w:p>
      <w:pPr>
        <w:ind w:firstLine="0" w:firstLineChars="0"/>
        <w:jc w:val="center"/>
        <w:rPr>
          <w:sz w:val="44"/>
          <w:szCs w:val="44"/>
        </w:rPr>
      </w:pPr>
    </w:p>
    <w:p>
      <w:pPr>
        <w:ind w:firstLine="0" w:firstLineChars="0"/>
        <w:jc w:val="center"/>
        <w:rPr>
          <w:sz w:val="44"/>
          <w:szCs w:val="44"/>
        </w:rPr>
      </w:pPr>
    </w:p>
    <w:p>
      <w:pPr>
        <w:ind w:firstLine="0" w:firstLineChars="0"/>
        <w:jc w:val="center"/>
        <w:rPr>
          <w:sz w:val="44"/>
          <w:szCs w:val="44"/>
        </w:rPr>
      </w:pPr>
    </w:p>
    <w:p>
      <w:pPr>
        <w:spacing w:line="240" w:lineRule="auto"/>
        <w:ind w:firstLine="0" w:firstLineChars="0"/>
        <w:jc w:val="center"/>
        <w:rPr>
          <w:sz w:val="48"/>
          <w:szCs w:val="48"/>
        </w:rPr>
      </w:pPr>
    </w:p>
    <w:p>
      <w:pPr>
        <w:spacing w:line="240" w:lineRule="auto"/>
        <w:ind w:firstLine="0" w:firstLineChars="0"/>
        <w:jc w:val="center"/>
        <w:rPr>
          <w:rFonts w:ascii="黑体" w:hAnsi="黑体" w:eastAsia="黑体"/>
          <w:b/>
          <w:sz w:val="48"/>
          <w:szCs w:val="48"/>
        </w:rPr>
      </w:pPr>
      <w:r>
        <w:rPr>
          <w:rFonts w:hint="eastAsia" w:ascii="黑体" w:hAnsi="黑体" w:eastAsia="黑体"/>
          <w:b/>
          <w:sz w:val="48"/>
          <w:szCs w:val="48"/>
        </w:rPr>
        <w:t>平顶山市“十四五”养老服务体系</w:t>
      </w:r>
    </w:p>
    <w:p>
      <w:pPr>
        <w:spacing w:line="240" w:lineRule="auto"/>
        <w:ind w:firstLine="0" w:firstLineChars="0"/>
        <w:jc w:val="center"/>
        <w:rPr>
          <w:rFonts w:hint="eastAsia" w:ascii="黑体" w:hAnsi="黑体" w:eastAsia="黑体"/>
          <w:b/>
          <w:sz w:val="48"/>
          <w:szCs w:val="48"/>
        </w:rPr>
      </w:pPr>
      <w:r>
        <w:rPr>
          <w:rFonts w:hint="eastAsia" w:ascii="黑体" w:hAnsi="黑体" w:eastAsia="黑体"/>
          <w:b/>
          <w:sz w:val="48"/>
          <w:szCs w:val="48"/>
        </w:rPr>
        <w:t>和康养产业发展规划</w:t>
      </w:r>
      <w:r>
        <w:rPr>
          <w:rFonts w:hint="eastAsia" w:ascii="黑体" w:hAnsi="黑体" w:eastAsia="黑体"/>
          <w:b/>
          <w:sz w:val="48"/>
          <w:szCs w:val="48"/>
        </w:rPr>
        <w:br w:type="textWrapping"/>
      </w:r>
    </w:p>
    <w:p>
      <w:pPr>
        <w:spacing w:line="240" w:lineRule="auto"/>
        <w:ind w:firstLine="0" w:firstLineChars="0"/>
        <w:jc w:val="center"/>
        <w:rPr>
          <w:rFonts w:hint="eastAsia" w:ascii="华文中宋" w:hAnsi="华文中宋" w:eastAsia="黑体"/>
          <w:b/>
          <w:sz w:val="48"/>
          <w:szCs w:val="48"/>
          <w:lang w:eastAsia="zh-CN"/>
        </w:rPr>
      </w:pPr>
      <w:r>
        <w:rPr>
          <w:rFonts w:hint="eastAsia" w:ascii="黑体" w:hAnsi="黑体" w:eastAsia="黑体"/>
          <w:b/>
          <w:sz w:val="48"/>
          <w:szCs w:val="48"/>
          <w:lang w:eastAsia="zh-CN"/>
        </w:rPr>
        <w:t>（征求意见稿）</w:t>
      </w:r>
    </w:p>
    <w:p>
      <w:pPr>
        <w:ind w:firstLine="640"/>
      </w:pPr>
    </w:p>
    <w:p>
      <w:pPr>
        <w:ind w:firstLine="640"/>
      </w:pPr>
    </w:p>
    <w:p>
      <w:pPr>
        <w:tabs>
          <w:tab w:val="left" w:pos="3972"/>
        </w:tabs>
        <w:ind w:firstLine="640"/>
      </w:pPr>
      <w:r>
        <w:tab/>
      </w:r>
    </w:p>
    <w:p>
      <w:pPr>
        <w:tabs>
          <w:tab w:val="left" w:pos="3972"/>
        </w:tabs>
        <w:ind w:firstLine="640"/>
      </w:pPr>
    </w:p>
    <w:p>
      <w:pPr>
        <w:tabs>
          <w:tab w:val="left" w:pos="3972"/>
        </w:tabs>
        <w:ind w:firstLine="640"/>
      </w:pPr>
    </w:p>
    <w:p>
      <w:pPr>
        <w:tabs>
          <w:tab w:val="left" w:pos="3972"/>
        </w:tabs>
        <w:ind w:firstLine="640"/>
      </w:pPr>
    </w:p>
    <w:p>
      <w:pPr>
        <w:tabs>
          <w:tab w:val="left" w:pos="3972"/>
        </w:tabs>
        <w:ind w:firstLine="640"/>
      </w:pPr>
    </w:p>
    <w:p>
      <w:pPr>
        <w:tabs>
          <w:tab w:val="left" w:pos="3972"/>
        </w:tabs>
        <w:ind w:firstLine="0" w:firstLineChars="0"/>
      </w:pPr>
    </w:p>
    <w:p>
      <w:pPr>
        <w:tabs>
          <w:tab w:val="left" w:pos="3972"/>
        </w:tabs>
        <w:ind w:firstLine="0" w:firstLineChars="0"/>
      </w:pPr>
    </w:p>
    <w:p>
      <w:pPr>
        <w:tabs>
          <w:tab w:val="left" w:pos="3972"/>
        </w:tabs>
        <w:ind w:firstLine="0" w:firstLineChars="0"/>
      </w:pPr>
    </w:p>
    <w:p>
      <w:pPr>
        <w:tabs>
          <w:tab w:val="left" w:pos="3972"/>
        </w:tabs>
        <w:ind w:firstLine="0" w:firstLineChars="0"/>
      </w:pPr>
    </w:p>
    <w:p>
      <w:pPr>
        <w:tabs>
          <w:tab w:val="left" w:pos="2424"/>
        </w:tabs>
        <w:ind w:firstLine="0" w:firstLineChars="0"/>
        <w:jc w:val="center"/>
        <w:rPr>
          <w:rFonts w:asciiTheme="minorEastAsia" w:hAnsiTheme="minorEastAsia" w:eastAsiaTheme="minorEastAsia"/>
          <w:b/>
          <w:bCs/>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0" w:gutter="0"/>
          <w:pgNumType w:fmt="upperRoman" w:start="1"/>
          <w:cols w:space="720" w:num="1"/>
          <w:docGrid w:type="lines" w:linePitch="312" w:charSpace="0"/>
        </w:sectPr>
      </w:pPr>
    </w:p>
    <w:p>
      <w:pPr>
        <w:tabs>
          <w:tab w:val="left" w:pos="2424"/>
        </w:tabs>
        <w:ind w:firstLine="0" w:firstLineChars="0"/>
        <w:jc w:val="center"/>
        <w:rPr>
          <w:rFonts w:asciiTheme="minorEastAsia" w:hAnsiTheme="minorEastAsia" w:eastAsiaTheme="minorEastAsia"/>
          <w:b/>
          <w:bCs/>
          <w:sz w:val="44"/>
          <w:szCs w:val="44"/>
        </w:rPr>
      </w:pPr>
    </w:p>
    <w:p>
      <w:pPr>
        <w:tabs>
          <w:tab w:val="left" w:pos="2424"/>
        </w:tabs>
        <w:ind w:firstLine="0" w:firstLineChars="0"/>
        <w:jc w:val="center"/>
        <w:rPr>
          <w:rFonts w:asciiTheme="minorEastAsia" w:hAnsiTheme="minorEastAsia" w:eastAsiaTheme="minorEastAsia"/>
          <w:b/>
          <w:bCs/>
          <w:sz w:val="44"/>
          <w:szCs w:val="44"/>
        </w:rPr>
      </w:pPr>
      <w:bookmarkStart w:id="0" w:name="_Hlk92400372"/>
      <w:r>
        <w:rPr>
          <w:rFonts w:hint="eastAsia" w:asciiTheme="minorEastAsia" w:hAnsiTheme="minorEastAsia" w:eastAsiaTheme="minorEastAsia"/>
          <w:b/>
          <w:bCs/>
          <w:sz w:val="44"/>
          <w:szCs w:val="44"/>
        </w:rPr>
        <w:t xml:space="preserve">目 </w:t>
      </w:r>
      <w:r>
        <w:rPr>
          <w:rFonts w:asciiTheme="minorEastAsia" w:hAnsiTheme="minorEastAsia" w:eastAsiaTheme="minorEastAsia"/>
          <w:b/>
          <w:bCs/>
          <w:sz w:val="44"/>
          <w:szCs w:val="44"/>
        </w:rPr>
        <w:t xml:space="preserve"> </w:t>
      </w:r>
      <w:r>
        <w:rPr>
          <w:rFonts w:hint="eastAsia" w:asciiTheme="minorEastAsia" w:hAnsiTheme="minorEastAsia" w:eastAsiaTheme="minorEastAsia"/>
          <w:b/>
          <w:bCs/>
          <w:sz w:val="44"/>
          <w:szCs w:val="44"/>
        </w:rPr>
        <w:t>录</w:t>
      </w:r>
    </w:p>
    <w:bookmarkEnd w:id="0"/>
    <w:p>
      <w:pPr>
        <w:tabs>
          <w:tab w:val="left" w:pos="2424"/>
        </w:tabs>
        <w:ind w:firstLine="0" w:firstLineChars="0"/>
      </w:pPr>
    </w:p>
    <w:p>
      <w:pPr>
        <w:pStyle w:val="21"/>
        <w:tabs>
          <w:tab w:val="right" w:leader="dot" w:pos="8296"/>
        </w:tabs>
        <w:ind w:firstLine="482"/>
        <w:rPr>
          <w:rFonts w:ascii="仿宋" w:hAnsi="仿宋" w:cstheme="minorBidi"/>
          <w:b w:val="0"/>
          <w:bCs w:val="0"/>
          <w:caps w:val="0"/>
          <w:sz w:val="28"/>
          <w:szCs w:val="28"/>
        </w:rPr>
      </w:pPr>
      <w:r>
        <w:rPr>
          <w:rFonts w:ascii="仿宋" w:hAnsi="仿宋"/>
          <w:sz w:val="24"/>
          <w:szCs w:val="24"/>
        </w:rPr>
        <w:fldChar w:fldCharType="begin"/>
      </w:r>
      <w:r>
        <w:rPr>
          <w:rFonts w:ascii="仿宋" w:hAnsi="仿宋"/>
          <w:sz w:val="24"/>
          <w:szCs w:val="24"/>
        </w:rPr>
        <w:instrText xml:space="preserve"> TOC \o "1-3" \h \z \u </w:instrText>
      </w:r>
      <w:r>
        <w:rPr>
          <w:rFonts w:ascii="仿宋" w:hAnsi="仿宋"/>
          <w:sz w:val="24"/>
          <w:szCs w:val="24"/>
        </w:rPr>
        <w:fldChar w:fldCharType="separate"/>
      </w:r>
      <w:r>
        <w:fldChar w:fldCharType="begin"/>
      </w:r>
      <w:r>
        <w:instrText xml:space="preserve"> HYPERLINK \l "_Toc107308215" </w:instrText>
      </w:r>
      <w:r>
        <w:fldChar w:fldCharType="separate"/>
      </w:r>
      <w:r>
        <w:rPr>
          <w:rStyle w:val="37"/>
          <w:rFonts w:ascii="仿宋" w:hAnsi="仿宋"/>
          <w:sz w:val="28"/>
          <w:szCs w:val="28"/>
        </w:rPr>
        <w:t>一、规划背景</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_Toc107308215 \h </w:instrText>
      </w:r>
      <w:r>
        <w:rPr>
          <w:rFonts w:ascii="仿宋" w:hAnsi="仿宋"/>
          <w:sz w:val="28"/>
          <w:szCs w:val="28"/>
        </w:rPr>
        <w:fldChar w:fldCharType="separate"/>
      </w:r>
      <w:r>
        <w:rPr>
          <w:rFonts w:ascii="仿宋" w:hAnsi="仿宋"/>
          <w:sz w:val="28"/>
          <w:szCs w:val="28"/>
        </w:rPr>
        <w:t>4</w:t>
      </w:r>
      <w:r>
        <w:rPr>
          <w:rFonts w:ascii="仿宋" w:hAnsi="仿宋"/>
          <w:sz w:val="28"/>
          <w:szCs w:val="28"/>
        </w:rPr>
        <w:fldChar w:fldCharType="end"/>
      </w:r>
      <w:r>
        <w:rPr>
          <w:rFonts w:ascii="仿宋" w:hAnsi="仿宋"/>
          <w:sz w:val="28"/>
          <w:szCs w:val="28"/>
        </w:rPr>
        <w:fldChar w:fldCharType="end"/>
      </w:r>
    </w:p>
    <w:p>
      <w:pPr>
        <w:pStyle w:val="26"/>
        <w:tabs>
          <w:tab w:val="right" w:leader="dot" w:pos="8296"/>
        </w:tabs>
        <w:ind w:firstLine="560"/>
        <w:rPr>
          <w:rFonts w:ascii="仿宋" w:hAnsi="仿宋" w:cstheme="minorBidi"/>
          <w:smallCaps w:val="0"/>
          <w:sz w:val="28"/>
          <w:szCs w:val="28"/>
        </w:rPr>
      </w:pPr>
      <w:r>
        <w:fldChar w:fldCharType="begin"/>
      </w:r>
      <w:r>
        <w:instrText xml:space="preserve"> HYPERLINK \l "_Toc107308216" </w:instrText>
      </w:r>
      <w:r>
        <w:fldChar w:fldCharType="separate"/>
      </w:r>
      <w:r>
        <w:rPr>
          <w:rStyle w:val="37"/>
          <w:rFonts w:ascii="仿宋" w:hAnsi="仿宋"/>
          <w:sz w:val="28"/>
          <w:szCs w:val="28"/>
        </w:rPr>
        <w:t>（一）发展现状</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_Toc107308216 \h </w:instrText>
      </w:r>
      <w:r>
        <w:rPr>
          <w:rFonts w:ascii="仿宋" w:hAnsi="仿宋"/>
          <w:sz w:val="28"/>
          <w:szCs w:val="28"/>
        </w:rPr>
        <w:fldChar w:fldCharType="separate"/>
      </w:r>
      <w:r>
        <w:rPr>
          <w:rFonts w:ascii="仿宋" w:hAnsi="仿宋"/>
          <w:sz w:val="28"/>
          <w:szCs w:val="28"/>
        </w:rPr>
        <w:t>4</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"_Toc107308217" </w:instrText>
      </w:r>
      <w:r>
        <w:fldChar w:fldCharType="separate"/>
      </w:r>
      <w:r>
        <w:rPr>
          <w:rStyle w:val="37"/>
          <w:rFonts w:ascii="仿宋" w:hAnsi="仿宋"/>
          <w:sz w:val="28"/>
          <w:szCs w:val="28"/>
        </w:rPr>
        <w:t>1.政策支持体系更加完善</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_Toc107308217 \h </w:instrText>
      </w:r>
      <w:r>
        <w:rPr>
          <w:rFonts w:ascii="仿宋" w:hAnsi="仿宋"/>
          <w:sz w:val="28"/>
          <w:szCs w:val="28"/>
        </w:rPr>
        <w:fldChar w:fldCharType="separate"/>
      </w:r>
      <w:r>
        <w:rPr>
          <w:rFonts w:ascii="仿宋" w:hAnsi="仿宋"/>
          <w:sz w:val="28"/>
          <w:szCs w:val="28"/>
        </w:rPr>
        <w:t>4</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"_Toc107308218" </w:instrText>
      </w:r>
      <w:r>
        <w:fldChar w:fldCharType="separate"/>
      </w:r>
      <w:r>
        <w:rPr>
          <w:rStyle w:val="37"/>
          <w:rFonts w:ascii="仿宋" w:hAnsi="仿宋"/>
          <w:sz w:val="28"/>
          <w:szCs w:val="28"/>
        </w:rPr>
        <w:t>2.养老服务体系逐步健全</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_Toc107308218 \h </w:instrText>
      </w:r>
      <w:r>
        <w:rPr>
          <w:rFonts w:ascii="仿宋" w:hAnsi="仿宋"/>
          <w:sz w:val="28"/>
          <w:szCs w:val="28"/>
        </w:rPr>
        <w:fldChar w:fldCharType="separate"/>
      </w:r>
      <w:r>
        <w:rPr>
          <w:rFonts w:ascii="仿宋" w:hAnsi="仿宋"/>
          <w:sz w:val="28"/>
          <w:szCs w:val="28"/>
        </w:rPr>
        <w:t>4</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"_Toc107308219" </w:instrText>
      </w:r>
      <w:r>
        <w:fldChar w:fldCharType="separate"/>
      </w:r>
      <w:r>
        <w:rPr>
          <w:rStyle w:val="37"/>
          <w:rFonts w:ascii="仿宋" w:hAnsi="仿宋"/>
          <w:sz w:val="28"/>
          <w:szCs w:val="28"/>
        </w:rPr>
        <w:t>3.康养产业发展初具规模</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_Toc107308219 \h </w:instrText>
      </w:r>
      <w:r>
        <w:rPr>
          <w:rFonts w:ascii="仿宋" w:hAnsi="仿宋"/>
          <w:sz w:val="28"/>
          <w:szCs w:val="28"/>
        </w:rPr>
        <w:fldChar w:fldCharType="separate"/>
      </w:r>
      <w:r>
        <w:rPr>
          <w:rFonts w:ascii="仿宋" w:hAnsi="仿宋"/>
          <w:sz w:val="28"/>
          <w:szCs w:val="28"/>
        </w:rPr>
        <w:t>5</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"_Toc107308220" </w:instrText>
      </w:r>
      <w:r>
        <w:fldChar w:fldCharType="separate"/>
      </w:r>
      <w:r>
        <w:rPr>
          <w:rStyle w:val="37"/>
          <w:rFonts w:ascii="仿宋" w:hAnsi="仿宋"/>
          <w:sz w:val="28"/>
          <w:szCs w:val="28"/>
        </w:rPr>
        <w:t>4.人口老龄化将不断加深</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_Toc107308220 \h </w:instrText>
      </w:r>
      <w:r>
        <w:rPr>
          <w:rFonts w:ascii="仿宋" w:hAnsi="仿宋"/>
          <w:sz w:val="28"/>
          <w:szCs w:val="28"/>
        </w:rPr>
        <w:fldChar w:fldCharType="separate"/>
      </w:r>
      <w:r>
        <w:rPr>
          <w:rFonts w:ascii="仿宋" w:hAnsi="仿宋"/>
          <w:sz w:val="28"/>
          <w:szCs w:val="28"/>
        </w:rPr>
        <w:t>6</w:t>
      </w:r>
      <w:r>
        <w:rPr>
          <w:rFonts w:ascii="仿宋" w:hAnsi="仿宋"/>
          <w:sz w:val="28"/>
          <w:szCs w:val="28"/>
        </w:rPr>
        <w:fldChar w:fldCharType="end"/>
      </w:r>
      <w:r>
        <w:rPr>
          <w:rFonts w:ascii="仿宋" w:hAnsi="仿宋"/>
          <w:sz w:val="28"/>
          <w:szCs w:val="28"/>
        </w:rPr>
        <w:fldChar w:fldCharType="end"/>
      </w:r>
    </w:p>
    <w:p>
      <w:pPr>
        <w:pStyle w:val="26"/>
        <w:tabs>
          <w:tab w:val="right" w:leader="dot" w:pos="8296"/>
        </w:tabs>
        <w:ind w:firstLine="560"/>
        <w:rPr>
          <w:rFonts w:ascii="仿宋" w:hAnsi="仿宋" w:cstheme="minorBidi"/>
          <w:smallCaps w:val="0"/>
          <w:sz w:val="28"/>
          <w:szCs w:val="28"/>
        </w:rPr>
      </w:pPr>
      <w:r>
        <w:fldChar w:fldCharType="begin"/>
      </w:r>
      <w:r>
        <w:instrText xml:space="preserve"> HYPERLINK \l "_Toc107308221" </w:instrText>
      </w:r>
      <w:r>
        <w:fldChar w:fldCharType="separate"/>
      </w:r>
      <w:r>
        <w:rPr>
          <w:rStyle w:val="37"/>
          <w:rFonts w:ascii="仿宋" w:hAnsi="仿宋"/>
          <w:sz w:val="28"/>
          <w:szCs w:val="28"/>
        </w:rPr>
        <w:t>（二）机遇挑战</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_Toc107308221 \h </w:instrText>
      </w:r>
      <w:r>
        <w:rPr>
          <w:rFonts w:ascii="仿宋" w:hAnsi="仿宋"/>
          <w:sz w:val="28"/>
          <w:szCs w:val="28"/>
        </w:rPr>
        <w:fldChar w:fldCharType="separate"/>
      </w:r>
      <w:r>
        <w:rPr>
          <w:rFonts w:ascii="仿宋" w:hAnsi="仿宋"/>
          <w:sz w:val="28"/>
          <w:szCs w:val="28"/>
        </w:rPr>
        <w:t>6</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"_Toc107308222" </w:instrText>
      </w:r>
      <w:r>
        <w:fldChar w:fldCharType="separate"/>
      </w:r>
      <w:r>
        <w:rPr>
          <w:rStyle w:val="37"/>
          <w:rFonts w:ascii="仿宋" w:hAnsi="仿宋"/>
          <w:sz w:val="28"/>
          <w:szCs w:val="28"/>
        </w:rPr>
        <w:t>1.党委政府高度重视</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_Toc107308222 \h </w:instrText>
      </w:r>
      <w:r>
        <w:rPr>
          <w:rFonts w:ascii="仿宋" w:hAnsi="仿宋"/>
          <w:sz w:val="28"/>
          <w:szCs w:val="28"/>
        </w:rPr>
        <w:fldChar w:fldCharType="separate"/>
      </w:r>
      <w:r>
        <w:rPr>
          <w:rFonts w:ascii="仿宋" w:hAnsi="仿宋"/>
          <w:sz w:val="28"/>
          <w:szCs w:val="28"/>
        </w:rPr>
        <w:t>6</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"_Toc107308223" </w:instrText>
      </w:r>
      <w:r>
        <w:fldChar w:fldCharType="separate"/>
      </w:r>
      <w:r>
        <w:rPr>
          <w:rStyle w:val="37"/>
          <w:rFonts w:ascii="仿宋" w:hAnsi="仿宋"/>
          <w:sz w:val="28"/>
          <w:szCs w:val="28"/>
          <w:lang w:val="zh-TW"/>
        </w:rPr>
        <w:t>2</w:t>
      </w:r>
      <w:r>
        <w:rPr>
          <w:rStyle w:val="37"/>
          <w:rFonts w:ascii="仿宋" w:hAnsi="仿宋"/>
          <w:sz w:val="28"/>
          <w:szCs w:val="28"/>
          <w:lang w:val="zh-TW" w:eastAsia="zh-TW"/>
        </w:rPr>
        <w:t>.特色资源得天独厚</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_Toc107308223 \h </w:instrText>
      </w:r>
      <w:r>
        <w:rPr>
          <w:rFonts w:ascii="仿宋" w:hAnsi="仿宋"/>
          <w:sz w:val="28"/>
          <w:szCs w:val="28"/>
        </w:rPr>
        <w:fldChar w:fldCharType="separate"/>
      </w:r>
      <w:r>
        <w:rPr>
          <w:rFonts w:ascii="仿宋" w:hAnsi="仿宋"/>
          <w:sz w:val="28"/>
          <w:szCs w:val="28"/>
        </w:rPr>
        <w:t>7</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"_Toc107308224" </w:instrText>
      </w:r>
      <w:r>
        <w:fldChar w:fldCharType="separate"/>
      </w:r>
      <w:r>
        <w:rPr>
          <w:rStyle w:val="37"/>
          <w:rFonts w:ascii="仿宋" w:hAnsi="仿宋"/>
          <w:sz w:val="28"/>
          <w:szCs w:val="28"/>
          <w:shd w:val="clear" w:color="auto" w:fill="FFFFFF"/>
          <w:lang w:val="zh-TW"/>
        </w:rPr>
        <w:t>3</w:t>
      </w:r>
      <w:r>
        <w:rPr>
          <w:rStyle w:val="37"/>
          <w:rFonts w:ascii="仿宋" w:hAnsi="仿宋"/>
          <w:sz w:val="28"/>
          <w:szCs w:val="28"/>
          <w:shd w:val="clear" w:color="auto" w:fill="FFFFFF"/>
          <w:lang w:val="zh-TW" w:eastAsia="zh-TW"/>
        </w:rPr>
        <w:t>.</w:t>
      </w:r>
      <w:r>
        <w:rPr>
          <w:rStyle w:val="37"/>
          <w:rFonts w:ascii="仿宋" w:hAnsi="仿宋"/>
          <w:sz w:val="28"/>
          <w:szCs w:val="28"/>
          <w:shd w:val="clear" w:color="auto" w:fill="FFFFFF"/>
          <w:lang w:val="zh-TW"/>
        </w:rPr>
        <w:t>经济形势稳中向好</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_Toc107308224 \h </w:instrText>
      </w:r>
      <w:r>
        <w:rPr>
          <w:rFonts w:ascii="仿宋" w:hAnsi="仿宋"/>
          <w:sz w:val="28"/>
          <w:szCs w:val="28"/>
        </w:rPr>
        <w:fldChar w:fldCharType="separate"/>
      </w:r>
      <w:r>
        <w:rPr>
          <w:rFonts w:ascii="仿宋" w:hAnsi="仿宋"/>
          <w:sz w:val="28"/>
          <w:szCs w:val="28"/>
        </w:rPr>
        <w:t>7</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"_Toc107308225" </w:instrText>
      </w:r>
      <w:r>
        <w:fldChar w:fldCharType="separate"/>
      </w:r>
      <w:r>
        <w:rPr>
          <w:rStyle w:val="37"/>
          <w:rFonts w:ascii="仿宋" w:hAnsi="仿宋"/>
          <w:sz w:val="28"/>
          <w:szCs w:val="28"/>
          <w:shd w:val="clear" w:color="auto" w:fill="FFFFFF"/>
          <w:lang w:val="zh-TW"/>
        </w:rPr>
        <w:t>4</w:t>
      </w:r>
      <w:r>
        <w:rPr>
          <w:rStyle w:val="37"/>
          <w:rFonts w:ascii="仿宋" w:hAnsi="仿宋"/>
          <w:sz w:val="28"/>
          <w:szCs w:val="28"/>
          <w:shd w:val="clear" w:color="auto" w:fill="FFFFFF"/>
          <w:lang w:val="zh-TW" w:eastAsia="zh-TW"/>
        </w:rPr>
        <w:t>.交通设施优势明显</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_Toc107308225 \h </w:instrText>
      </w:r>
      <w:r>
        <w:rPr>
          <w:rFonts w:ascii="仿宋" w:hAnsi="仿宋"/>
          <w:sz w:val="28"/>
          <w:szCs w:val="28"/>
        </w:rPr>
        <w:fldChar w:fldCharType="separate"/>
      </w:r>
      <w:r>
        <w:rPr>
          <w:rFonts w:ascii="仿宋" w:hAnsi="仿宋"/>
          <w:sz w:val="28"/>
          <w:szCs w:val="28"/>
        </w:rPr>
        <w:t>7</w:t>
      </w:r>
      <w:r>
        <w:rPr>
          <w:rFonts w:ascii="仿宋" w:hAnsi="仿宋"/>
          <w:sz w:val="28"/>
          <w:szCs w:val="28"/>
        </w:rPr>
        <w:fldChar w:fldCharType="end"/>
      </w:r>
      <w:r>
        <w:rPr>
          <w:rFonts w:ascii="仿宋" w:hAnsi="仿宋"/>
          <w:sz w:val="28"/>
          <w:szCs w:val="28"/>
        </w:rPr>
        <w:fldChar w:fldCharType="end"/>
      </w:r>
    </w:p>
    <w:p>
      <w:pPr>
        <w:pStyle w:val="21"/>
        <w:tabs>
          <w:tab w:val="right" w:leader="dot" w:pos="8296"/>
        </w:tabs>
        <w:ind w:firstLine="562"/>
        <w:rPr>
          <w:rFonts w:ascii="仿宋" w:hAnsi="仿宋" w:cstheme="minorBidi"/>
          <w:b w:val="0"/>
          <w:bCs w:val="0"/>
          <w:caps w:val="0"/>
          <w:sz w:val="28"/>
          <w:szCs w:val="28"/>
        </w:rPr>
      </w:pPr>
      <w:r>
        <w:fldChar w:fldCharType="begin"/>
      </w:r>
      <w:r>
        <w:instrText xml:space="preserve"> HYPERLINK \l "_Toc107308226" </w:instrText>
      </w:r>
      <w:r>
        <w:fldChar w:fldCharType="separate"/>
      </w:r>
      <w:r>
        <w:rPr>
          <w:rStyle w:val="37"/>
          <w:rFonts w:ascii="仿宋" w:hAnsi="仿宋"/>
          <w:sz w:val="28"/>
          <w:szCs w:val="28"/>
        </w:rPr>
        <w:t>二、总体要求</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_Toc107308226 \h </w:instrText>
      </w:r>
      <w:r>
        <w:rPr>
          <w:rFonts w:ascii="仿宋" w:hAnsi="仿宋"/>
          <w:sz w:val="28"/>
          <w:szCs w:val="28"/>
        </w:rPr>
        <w:fldChar w:fldCharType="separate"/>
      </w:r>
      <w:r>
        <w:rPr>
          <w:rFonts w:ascii="仿宋" w:hAnsi="仿宋"/>
          <w:sz w:val="28"/>
          <w:szCs w:val="28"/>
        </w:rPr>
        <w:t>8</w:t>
      </w:r>
      <w:r>
        <w:rPr>
          <w:rFonts w:ascii="仿宋" w:hAnsi="仿宋"/>
          <w:sz w:val="28"/>
          <w:szCs w:val="28"/>
        </w:rPr>
        <w:fldChar w:fldCharType="end"/>
      </w:r>
      <w:r>
        <w:rPr>
          <w:rFonts w:ascii="仿宋" w:hAnsi="仿宋"/>
          <w:sz w:val="28"/>
          <w:szCs w:val="28"/>
        </w:rPr>
        <w:fldChar w:fldCharType="end"/>
      </w:r>
    </w:p>
    <w:p>
      <w:pPr>
        <w:pStyle w:val="26"/>
        <w:tabs>
          <w:tab w:val="right" w:leader="dot" w:pos="8296"/>
        </w:tabs>
        <w:ind w:firstLine="560"/>
        <w:rPr>
          <w:rFonts w:ascii="仿宋" w:hAnsi="仿宋" w:cstheme="minorBidi"/>
          <w:smallCaps w:val="0"/>
          <w:sz w:val="28"/>
          <w:szCs w:val="28"/>
        </w:rPr>
      </w:pPr>
      <w:r>
        <w:fldChar w:fldCharType="begin"/>
      </w:r>
      <w:r>
        <w:instrText xml:space="preserve"> HYPERLINK \l "_Toc107308227" </w:instrText>
      </w:r>
      <w:r>
        <w:fldChar w:fldCharType="separate"/>
      </w:r>
      <w:r>
        <w:rPr>
          <w:rStyle w:val="37"/>
          <w:rFonts w:ascii="仿宋" w:hAnsi="仿宋"/>
          <w:sz w:val="28"/>
          <w:szCs w:val="28"/>
        </w:rPr>
        <w:t>（一）指导思想</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_Toc107308227 \h </w:instrText>
      </w:r>
      <w:r>
        <w:rPr>
          <w:rFonts w:ascii="仿宋" w:hAnsi="仿宋"/>
          <w:sz w:val="28"/>
          <w:szCs w:val="28"/>
        </w:rPr>
        <w:fldChar w:fldCharType="separate"/>
      </w:r>
      <w:r>
        <w:rPr>
          <w:rFonts w:ascii="仿宋" w:hAnsi="仿宋"/>
          <w:sz w:val="28"/>
          <w:szCs w:val="28"/>
        </w:rPr>
        <w:t>8</w:t>
      </w:r>
      <w:r>
        <w:rPr>
          <w:rFonts w:ascii="仿宋" w:hAnsi="仿宋"/>
          <w:sz w:val="28"/>
          <w:szCs w:val="28"/>
        </w:rPr>
        <w:fldChar w:fldCharType="end"/>
      </w:r>
      <w:r>
        <w:rPr>
          <w:rFonts w:ascii="仿宋" w:hAnsi="仿宋"/>
          <w:sz w:val="28"/>
          <w:szCs w:val="28"/>
        </w:rPr>
        <w:fldChar w:fldCharType="end"/>
      </w:r>
    </w:p>
    <w:p>
      <w:pPr>
        <w:pStyle w:val="26"/>
        <w:tabs>
          <w:tab w:val="right" w:leader="dot" w:pos="8296"/>
        </w:tabs>
        <w:ind w:firstLine="560"/>
        <w:rPr>
          <w:rFonts w:ascii="仿宋" w:hAnsi="仿宋" w:cstheme="minorBidi"/>
          <w:smallCaps w:val="0"/>
          <w:sz w:val="28"/>
          <w:szCs w:val="28"/>
        </w:rPr>
      </w:pPr>
      <w:r>
        <w:fldChar w:fldCharType="begin"/>
      </w:r>
      <w:r>
        <w:instrText xml:space="preserve"> HYPERLINK \l "_Toc107308228" </w:instrText>
      </w:r>
      <w:r>
        <w:fldChar w:fldCharType="separate"/>
      </w:r>
      <w:r>
        <w:rPr>
          <w:rStyle w:val="37"/>
          <w:rFonts w:ascii="仿宋" w:hAnsi="仿宋"/>
          <w:sz w:val="28"/>
          <w:szCs w:val="28"/>
        </w:rPr>
        <w:t>（二）基本原则</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_Toc107308228 \h </w:instrText>
      </w:r>
      <w:r>
        <w:rPr>
          <w:rFonts w:ascii="仿宋" w:hAnsi="仿宋"/>
          <w:sz w:val="28"/>
          <w:szCs w:val="28"/>
        </w:rPr>
        <w:fldChar w:fldCharType="separate"/>
      </w:r>
      <w:r>
        <w:rPr>
          <w:rFonts w:ascii="仿宋" w:hAnsi="仿宋"/>
          <w:sz w:val="28"/>
          <w:szCs w:val="28"/>
        </w:rPr>
        <w:t>8</w:t>
      </w:r>
      <w:r>
        <w:rPr>
          <w:rFonts w:ascii="仿宋" w:hAnsi="仿宋"/>
          <w:sz w:val="28"/>
          <w:szCs w:val="28"/>
        </w:rPr>
        <w:fldChar w:fldCharType="end"/>
      </w:r>
      <w:r>
        <w:rPr>
          <w:rFonts w:ascii="仿宋" w:hAnsi="仿宋"/>
          <w:sz w:val="28"/>
          <w:szCs w:val="28"/>
        </w:rPr>
        <w:fldChar w:fldCharType="end"/>
      </w:r>
    </w:p>
    <w:p>
      <w:pPr>
        <w:pStyle w:val="26"/>
        <w:tabs>
          <w:tab w:val="right" w:leader="dot" w:pos="8296"/>
        </w:tabs>
        <w:ind w:firstLine="560"/>
        <w:rPr>
          <w:rFonts w:ascii="仿宋" w:hAnsi="仿宋" w:cstheme="minorBidi"/>
          <w:smallCaps w:val="0"/>
          <w:sz w:val="28"/>
          <w:szCs w:val="28"/>
        </w:rPr>
      </w:pPr>
      <w:r>
        <w:fldChar w:fldCharType="begin"/>
      </w:r>
      <w:r>
        <w:instrText xml:space="preserve"> HYPERLINK \l "_Toc107308229" </w:instrText>
      </w:r>
      <w:r>
        <w:fldChar w:fldCharType="separate"/>
      </w:r>
      <w:r>
        <w:rPr>
          <w:rStyle w:val="37"/>
          <w:rFonts w:ascii="仿宋" w:hAnsi="仿宋"/>
          <w:sz w:val="28"/>
          <w:szCs w:val="28"/>
        </w:rPr>
        <w:t>（三）总体目标</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_Toc107308229 \h </w:instrText>
      </w:r>
      <w:r>
        <w:rPr>
          <w:rFonts w:ascii="仿宋" w:hAnsi="仿宋"/>
          <w:sz w:val="28"/>
          <w:szCs w:val="28"/>
        </w:rPr>
        <w:fldChar w:fldCharType="separate"/>
      </w:r>
      <w:r>
        <w:rPr>
          <w:rFonts w:ascii="仿宋" w:hAnsi="仿宋"/>
          <w:sz w:val="28"/>
          <w:szCs w:val="28"/>
        </w:rPr>
        <w:t>9</w:t>
      </w:r>
      <w:r>
        <w:rPr>
          <w:rFonts w:ascii="仿宋" w:hAnsi="仿宋"/>
          <w:sz w:val="28"/>
          <w:szCs w:val="28"/>
        </w:rPr>
        <w:fldChar w:fldCharType="end"/>
      </w:r>
      <w:r>
        <w:rPr>
          <w:rFonts w:ascii="仿宋" w:hAnsi="仿宋"/>
          <w:sz w:val="28"/>
          <w:szCs w:val="28"/>
        </w:rPr>
        <w:fldChar w:fldCharType="end"/>
      </w:r>
    </w:p>
    <w:p>
      <w:pPr>
        <w:pStyle w:val="21"/>
        <w:tabs>
          <w:tab w:val="right" w:leader="dot" w:pos="8296"/>
        </w:tabs>
        <w:ind w:firstLine="562"/>
        <w:rPr>
          <w:rFonts w:ascii="仿宋" w:hAnsi="仿宋" w:cstheme="minorBidi"/>
          <w:b w:val="0"/>
          <w:bCs w:val="0"/>
          <w:caps w:val="0"/>
          <w:sz w:val="28"/>
          <w:szCs w:val="28"/>
        </w:rPr>
      </w:pPr>
      <w:r>
        <w:fldChar w:fldCharType="begin"/>
      </w:r>
      <w:r>
        <w:instrText xml:space="preserve"> HYPERLINK \l "_Toc107308230" </w:instrText>
      </w:r>
      <w:r>
        <w:fldChar w:fldCharType="separate"/>
      </w:r>
      <w:r>
        <w:rPr>
          <w:rStyle w:val="37"/>
          <w:rFonts w:ascii="仿宋" w:hAnsi="仿宋"/>
          <w:sz w:val="28"/>
          <w:szCs w:val="28"/>
        </w:rPr>
        <w:t>三、主要任务</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_Toc107308230 \h </w:instrText>
      </w:r>
      <w:r>
        <w:rPr>
          <w:rFonts w:ascii="仿宋" w:hAnsi="仿宋"/>
          <w:sz w:val="28"/>
          <w:szCs w:val="28"/>
        </w:rPr>
        <w:fldChar w:fldCharType="separate"/>
      </w:r>
      <w:r>
        <w:rPr>
          <w:rFonts w:ascii="仿宋" w:hAnsi="仿宋"/>
          <w:sz w:val="28"/>
          <w:szCs w:val="28"/>
        </w:rPr>
        <w:t>11</w:t>
      </w:r>
      <w:r>
        <w:rPr>
          <w:rFonts w:ascii="仿宋" w:hAnsi="仿宋"/>
          <w:sz w:val="28"/>
          <w:szCs w:val="28"/>
        </w:rPr>
        <w:fldChar w:fldCharType="end"/>
      </w:r>
      <w:r>
        <w:rPr>
          <w:rFonts w:ascii="仿宋" w:hAnsi="仿宋"/>
          <w:sz w:val="28"/>
          <w:szCs w:val="28"/>
        </w:rPr>
        <w:fldChar w:fldCharType="end"/>
      </w:r>
    </w:p>
    <w:p>
      <w:pPr>
        <w:pStyle w:val="26"/>
        <w:tabs>
          <w:tab w:val="right" w:leader="dot" w:pos="8296"/>
        </w:tabs>
        <w:ind w:firstLine="560"/>
        <w:rPr>
          <w:rFonts w:ascii="仿宋" w:hAnsi="仿宋" w:cstheme="minorBidi"/>
          <w:smallCaps w:val="0"/>
          <w:sz w:val="28"/>
          <w:szCs w:val="28"/>
        </w:rPr>
      </w:pPr>
      <w:r>
        <w:fldChar w:fldCharType="begin"/>
      </w:r>
      <w:r>
        <w:instrText xml:space="preserve"> HYPERLINK \l "_Toc107308231" </w:instrText>
      </w:r>
      <w:r>
        <w:fldChar w:fldCharType="separate"/>
      </w:r>
      <w:r>
        <w:rPr>
          <w:rStyle w:val="37"/>
          <w:rFonts w:ascii="仿宋" w:hAnsi="仿宋"/>
          <w:sz w:val="28"/>
          <w:szCs w:val="28"/>
        </w:rPr>
        <w:t>（一）提升鹰城养老服务体系</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_Toc107308231 \h </w:instrText>
      </w:r>
      <w:r>
        <w:rPr>
          <w:rFonts w:ascii="仿宋" w:hAnsi="仿宋"/>
          <w:sz w:val="28"/>
          <w:szCs w:val="28"/>
        </w:rPr>
        <w:fldChar w:fldCharType="separate"/>
      </w:r>
      <w:r>
        <w:rPr>
          <w:rFonts w:ascii="仿宋" w:hAnsi="仿宋"/>
          <w:sz w:val="28"/>
          <w:szCs w:val="28"/>
        </w:rPr>
        <w:t>11</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"_Toc107308232" </w:instrText>
      </w:r>
      <w:r>
        <w:fldChar w:fldCharType="separate"/>
      </w:r>
      <w:r>
        <w:rPr>
          <w:rStyle w:val="37"/>
          <w:rFonts w:ascii="仿宋" w:hAnsi="仿宋"/>
          <w:sz w:val="28"/>
          <w:szCs w:val="28"/>
        </w:rPr>
        <w:t>1.积极推进养老服务机构建设</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_Toc107308232 \h </w:instrText>
      </w:r>
      <w:r>
        <w:rPr>
          <w:rFonts w:ascii="仿宋" w:hAnsi="仿宋"/>
          <w:sz w:val="28"/>
          <w:szCs w:val="28"/>
        </w:rPr>
        <w:fldChar w:fldCharType="separate"/>
      </w:r>
      <w:r>
        <w:rPr>
          <w:rFonts w:ascii="仿宋" w:hAnsi="仿宋"/>
          <w:sz w:val="28"/>
          <w:szCs w:val="28"/>
        </w:rPr>
        <w:t>11</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"_Toc107308233" </w:instrText>
      </w:r>
      <w:r>
        <w:fldChar w:fldCharType="separate"/>
      </w:r>
      <w:r>
        <w:rPr>
          <w:rStyle w:val="37"/>
          <w:rFonts w:ascii="仿宋" w:hAnsi="仿宋"/>
          <w:sz w:val="28"/>
          <w:szCs w:val="28"/>
        </w:rPr>
        <w:t>2.丰富多元化养老服务供给主体</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_Toc107308233 \h </w:instrText>
      </w:r>
      <w:r>
        <w:rPr>
          <w:rFonts w:ascii="仿宋" w:hAnsi="仿宋"/>
          <w:sz w:val="28"/>
          <w:szCs w:val="28"/>
        </w:rPr>
        <w:fldChar w:fldCharType="separate"/>
      </w:r>
      <w:r>
        <w:rPr>
          <w:rFonts w:ascii="仿宋" w:hAnsi="仿宋"/>
          <w:sz w:val="28"/>
          <w:szCs w:val="28"/>
        </w:rPr>
        <w:t>12</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"_Toc107308234" </w:instrText>
      </w:r>
      <w:r>
        <w:fldChar w:fldCharType="separate"/>
      </w:r>
      <w:r>
        <w:rPr>
          <w:rStyle w:val="37"/>
          <w:rFonts w:ascii="仿宋" w:hAnsi="仿宋"/>
          <w:sz w:val="28"/>
          <w:szCs w:val="28"/>
        </w:rPr>
        <w:t>3.推进居家社区与机构融合发展</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_Toc107308234 \h </w:instrText>
      </w:r>
      <w:r>
        <w:rPr>
          <w:rFonts w:ascii="仿宋" w:hAnsi="仿宋"/>
          <w:sz w:val="28"/>
          <w:szCs w:val="28"/>
        </w:rPr>
        <w:fldChar w:fldCharType="separate"/>
      </w:r>
      <w:r>
        <w:rPr>
          <w:rFonts w:ascii="仿宋" w:hAnsi="仿宋"/>
          <w:sz w:val="28"/>
          <w:szCs w:val="28"/>
        </w:rPr>
        <w:t>13</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"_Toc107308235" </w:instrText>
      </w:r>
      <w:r>
        <w:fldChar w:fldCharType="separate"/>
      </w:r>
      <w:r>
        <w:rPr>
          <w:rStyle w:val="37"/>
          <w:rFonts w:ascii="仿宋" w:hAnsi="仿宋"/>
          <w:sz w:val="28"/>
          <w:szCs w:val="28"/>
        </w:rPr>
        <w:t>4.多举措推动养老服务质量提升</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_Toc107308235 \h </w:instrText>
      </w:r>
      <w:r>
        <w:rPr>
          <w:rFonts w:ascii="仿宋" w:hAnsi="仿宋"/>
          <w:sz w:val="28"/>
          <w:szCs w:val="28"/>
        </w:rPr>
        <w:fldChar w:fldCharType="separate"/>
      </w:r>
      <w:r>
        <w:rPr>
          <w:rFonts w:ascii="仿宋" w:hAnsi="仿宋"/>
          <w:sz w:val="28"/>
          <w:szCs w:val="28"/>
        </w:rPr>
        <w:t>14</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"_Toc107308236" </w:instrText>
      </w:r>
      <w:r>
        <w:fldChar w:fldCharType="separate"/>
      </w:r>
      <w:r>
        <w:rPr>
          <w:rStyle w:val="37"/>
          <w:rFonts w:ascii="仿宋" w:hAnsi="仿宋"/>
          <w:sz w:val="28"/>
          <w:szCs w:val="28"/>
        </w:rPr>
        <w:t>5.建立完善基本养老服务制度</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_Toc107308236 \h </w:instrText>
      </w:r>
      <w:r>
        <w:rPr>
          <w:rFonts w:ascii="仿宋" w:hAnsi="仿宋"/>
          <w:sz w:val="28"/>
          <w:szCs w:val="28"/>
        </w:rPr>
        <w:fldChar w:fldCharType="separate"/>
      </w:r>
      <w:r>
        <w:rPr>
          <w:rFonts w:ascii="仿宋" w:hAnsi="仿宋"/>
          <w:sz w:val="28"/>
          <w:szCs w:val="28"/>
        </w:rPr>
        <w:t>15</w:t>
      </w:r>
      <w:r>
        <w:rPr>
          <w:rFonts w:ascii="仿宋" w:hAnsi="仿宋"/>
          <w:sz w:val="28"/>
          <w:szCs w:val="28"/>
        </w:rPr>
        <w:fldChar w:fldCharType="end"/>
      </w:r>
      <w:r>
        <w:rPr>
          <w:rFonts w:ascii="仿宋" w:hAnsi="仿宋"/>
          <w:sz w:val="28"/>
          <w:szCs w:val="28"/>
        </w:rPr>
        <w:fldChar w:fldCharType="end"/>
      </w:r>
    </w:p>
    <w:p>
      <w:pPr>
        <w:pStyle w:val="26"/>
        <w:tabs>
          <w:tab w:val="right" w:leader="dot" w:pos="8296"/>
        </w:tabs>
        <w:ind w:firstLine="560"/>
        <w:rPr>
          <w:rFonts w:ascii="仿宋" w:hAnsi="仿宋" w:cstheme="minorBidi"/>
          <w:smallCaps w:val="0"/>
          <w:sz w:val="28"/>
          <w:szCs w:val="28"/>
        </w:rPr>
      </w:pPr>
      <w:r>
        <w:fldChar w:fldCharType="begin"/>
      </w:r>
      <w:r>
        <w:instrText xml:space="preserve"> HYPERLINK \l "_Toc107308237" </w:instrText>
      </w:r>
      <w:r>
        <w:fldChar w:fldCharType="separate"/>
      </w:r>
      <w:r>
        <w:rPr>
          <w:rStyle w:val="37"/>
          <w:rFonts w:ascii="仿宋" w:hAnsi="仿宋"/>
          <w:sz w:val="28"/>
          <w:szCs w:val="28"/>
        </w:rPr>
        <w:t>（二）大力发展鹰城康养产业</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_Toc107308237 \h </w:instrText>
      </w:r>
      <w:r>
        <w:rPr>
          <w:rFonts w:ascii="仿宋" w:hAnsi="仿宋"/>
          <w:sz w:val="28"/>
          <w:szCs w:val="28"/>
        </w:rPr>
        <w:fldChar w:fldCharType="separate"/>
      </w:r>
      <w:r>
        <w:rPr>
          <w:rFonts w:ascii="仿宋" w:hAnsi="仿宋"/>
          <w:sz w:val="28"/>
          <w:szCs w:val="28"/>
        </w:rPr>
        <w:t>17</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"_Toc107308238" </w:instrText>
      </w:r>
      <w:r>
        <w:fldChar w:fldCharType="separate"/>
      </w:r>
      <w:r>
        <w:rPr>
          <w:rStyle w:val="37"/>
          <w:rFonts w:ascii="仿宋" w:hAnsi="仿宋"/>
          <w:sz w:val="28"/>
          <w:szCs w:val="28"/>
        </w:rPr>
        <w:t>1.全面加强老年健康服务体系</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_Toc107308238 \h </w:instrText>
      </w:r>
      <w:r>
        <w:rPr>
          <w:rFonts w:ascii="仿宋" w:hAnsi="仿宋"/>
          <w:sz w:val="28"/>
          <w:szCs w:val="28"/>
        </w:rPr>
        <w:fldChar w:fldCharType="separate"/>
      </w:r>
      <w:r>
        <w:rPr>
          <w:rFonts w:ascii="仿宋" w:hAnsi="仿宋"/>
          <w:sz w:val="28"/>
          <w:szCs w:val="28"/>
        </w:rPr>
        <w:t>17</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"_Toc107308239" </w:instrText>
      </w:r>
      <w:r>
        <w:fldChar w:fldCharType="separate"/>
      </w:r>
      <w:r>
        <w:rPr>
          <w:rStyle w:val="37"/>
          <w:rFonts w:ascii="仿宋" w:hAnsi="仿宋"/>
          <w:sz w:val="28"/>
          <w:szCs w:val="28"/>
        </w:rPr>
        <w:t>2.构建五大特色健康养生产业</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_Toc107308239 \h </w:instrText>
      </w:r>
      <w:r>
        <w:rPr>
          <w:rFonts w:ascii="仿宋" w:hAnsi="仿宋"/>
          <w:sz w:val="28"/>
          <w:szCs w:val="28"/>
        </w:rPr>
        <w:fldChar w:fldCharType="separate"/>
      </w:r>
      <w:r>
        <w:rPr>
          <w:rFonts w:ascii="仿宋" w:hAnsi="仿宋"/>
          <w:sz w:val="28"/>
          <w:szCs w:val="28"/>
        </w:rPr>
        <w:t>18</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"_Toc107308240" </w:instrText>
      </w:r>
      <w:r>
        <w:fldChar w:fldCharType="separate"/>
      </w:r>
      <w:r>
        <w:rPr>
          <w:rStyle w:val="37"/>
          <w:rFonts w:ascii="仿宋" w:hAnsi="仿宋"/>
          <w:sz w:val="28"/>
          <w:szCs w:val="28"/>
        </w:rPr>
        <w:t>3.科学谋划合理布局康养产业</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_Toc107308240 \h </w:instrText>
      </w:r>
      <w:r>
        <w:rPr>
          <w:rFonts w:ascii="仿宋" w:hAnsi="仿宋"/>
          <w:sz w:val="28"/>
          <w:szCs w:val="28"/>
        </w:rPr>
        <w:fldChar w:fldCharType="separate"/>
      </w:r>
      <w:r>
        <w:rPr>
          <w:rFonts w:ascii="仿宋" w:hAnsi="仿宋"/>
          <w:sz w:val="28"/>
          <w:szCs w:val="28"/>
        </w:rPr>
        <w:t>19</w:t>
      </w:r>
      <w:r>
        <w:rPr>
          <w:rFonts w:ascii="仿宋" w:hAnsi="仿宋"/>
          <w:sz w:val="28"/>
          <w:szCs w:val="28"/>
        </w:rPr>
        <w:fldChar w:fldCharType="end"/>
      </w:r>
      <w:r>
        <w:rPr>
          <w:rFonts w:ascii="仿宋" w:hAnsi="仿宋"/>
          <w:sz w:val="28"/>
          <w:szCs w:val="28"/>
        </w:rPr>
        <w:fldChar w:fldCharType="end"/>
      </w:r>
    </w:p>
    <w:p>
      <w:pPr>
        <w:pStyle w:val="26"/>
        <w:tabs>
          <w:tab w:val="right" w:leader="dot" w:pos="8296"/>
        </w:tabs>
        <w:ind w:firstLine="560"/>
        <w:rPr>
          <w:rFonts w:ascii="仿宋" w:hAnsi="仿宋" w:cstheme="minorBidi"/>
          <w:smallCaps w:val="0"/>
          <w:sz w:val="28"/>
          <w:szCs w:val="28"/>
        </w:rPr>
      </w:pPr>
      <w:r>
        <w:fldChar w:fldCharType="begin"/>
      </w:r>
      <w:r>
        <w:instrText xml:space="preserve"> HYPERLINK \l "_Toc107308241" </w:instrText>
      </w:r>
      <w:r>
        <w:fldChar w:fldCharType="separate"/>
      </w:r>
      <w:r>
        <w:rPr>
          <w:rStyle w:val="37"/>
          <w:rFonts w:ascii="仿宋" w:hAnsi="仿宋"/>
          <w:sz w:val="28"/>
          <w:szCs w:val="28"/>
        </w:rPr>
        <w:t>（三）推动鹰城产业融合发展</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_Toc107308241 \h </w:instrText>
      </w:r>
      <w:r>
        <w:rPr>
          <w:rFonts w:ascii="仿宋" w:hAnsi="仿宋"/>
          <w:sz w:val="28"/>
          <w:szCs w:val="28"/>
        </w:rPr>
        <w:fldChar w:fldCharType="separate"/>
      </w:r>
      <w:r>
        <w:rPr>
          <w:rFonts w:ascii="仿宋" w:hAnsi="仿宋"/>
          <w:sz w:val="28"/>
          <w:szCs w:val="28"/>
        </w:rPr>
        <w:t>20</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"_Toc107308242" </w:instrText>
      </w:r>
      <w:r>
        <w:fldChar w:fldCharType="separate"/>
      </w:r>
      <w:r>
        <w:rPr>
          <w:rStyle w:val="37"/>
          <w:rFonts w:ascii="仿宋" w:hAnsi="仿宋"/>
          <w:sz w:val="28"/>
          <w:szCs w:val="28"/>
        </w:rPr>
        <w:t>1.与旅游相融合</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_Toc107308242 \h </w:instrText>
      </w:r>
      <w:r>
        <w:rPr>
          <w:rFonts w:ascii="仿宋" w:hAnsi="仿宋"/>
          <w:sz w:val="28"/>
          <w:szCs w:val="28"/>
        </w:rPr>
        <w:fldChar w:fldCharType="separate"/>
      </w:r>
      <w:r>
        <w:rPr>
          <w:rFonts w:ascii="仿宋" w:hAnsi="仿宋"/>
          <w:sz w:val="28"/>
          <w:szCs w:val="28"/>
        </w:rPr>
        <w:t>20</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"_Toc107308243" </w:instrText>
      </w:r>
      <w:r>
        <w:fldChar w:fldCharType="separate"/>
      </w:r>
      <w:r>
        <w:rPr>
          <w:rStyle w:val="37"/>
          <w:rFonts w:ascii="仿宋" w:hAnsi="仿宋"/>
          <w:sz w:val="28"/>
          <w:szCs w:val="28"/>
        </w:rPr>
        <w:t>2.与教育相融合</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_Toc107308243 \h </w:instrText>
      </w:r>
      <w:r>
        <w:rPr>
          <w:rFonts w:ascii="仿宋" w:hAnsi="仿宋"/>
          <w:sz w:val="28"/>
          <w:szCs w:val="28"/>
        </w:rPr>
        <w:fldChar w:fldCharType="separate"/>
      </w:r>
      <w:r>
        <w:rPr>
          <w:rFonts w:ascii="仿宋" w:hAnsi="仿宋"/>
          <w:sz w:val="28"/>
          <w:szCs w:val="28"/>
        </w:rPr>
        <w:t>20</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"_Toc107308244" </w:instrText>
      </w:r>
      <w:r>
        <w:fldChar w:fldCharType="separate"/>
      </w:r>
      <w:r>
        <w:rPr>
          <w:rStyle w:val="37"/>
          <w:rFonts w:ascii="仿宋" w:hAnsi="仿宋"/>
          <w:sz w:val="28"/>
          <w:szCs w:val="28"/>
        </w:rPr>
        <w:t>3.与民宿相融合</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_Toc107308244 \h </w:instrText>
      </w:r>
      <w:r>
        <w:rPr>
          <w:rFonts w:ascii="仿宋" w:hAnsi="仿宋"/>
          <w:sz w:val="28"/>
          <w:szCs w:val="28"/>
        </w:rPr>
        <w:fldChar w:fldCharType="separate"/>
      </w:r>
      <w:r>
        <w:rPr>
          <w:rFonts w:ascii="仿宋" w:hAnsi="仿宋"/>
          <w:sz w:val="28"/>
          <w:szCs w:val="28"/>
        </w:rPr>
        <w:t>21</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"_Toc107308245" </w:instrText>
      </w:r>
      <w:r>
        <w:fldChar w:fldCharType="separate"/>
      </w:r>
      <w:r>
        <w:rPr>
          <w:rStyle w:val="37"/>
          <w:rFonts w:ascii="仿宋" w:hAnsi="仿宋"/>
          <w:sz w:val="28"/>
          <w:szCs w:val="28"/>
        </w:rPr>
        <w:t>4.与体育相融合</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_Toc107308245 \h </w:instrText>
      </w:r>
      <w:r>
        <w:rPr>
          <w:rFonts w:ascii="仿宋" w:hAnsi="仿宋"/>
          <w:sz w:val="28"/>
          <w:szCs w:val="28"/>
        </w:rPr>
        <w:fldChar w:fldCharType="separate"/>
      </w:r>
      <w:r>
        <w:rPr>
          <w:rFonts w:ascii="仿宋" w:hAnsi="仿宋"/>
          <w:sz w:val="28"/>
          <w:szCs w:val="28"/>
        </w:rPr>
        <w:t>21</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"_Toc107308246" </w:instrText>
      </w:r>
      <w:r>
        <w:fldChar w:fldCharType="separate"/>
      </w:r>
      <w:r>
        <w:rPr>
          <w:rStyle w:val="37"/>
          <w:rFonts w:ascii="仿宋" w:hAnsi="仿宋"/>
          <w:sz w:val="28"/>
          <w:szCs w:val="28"/>
        </w:rPr>
        <w:t>5.与文化相融合</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_Toc107308246 \h </w:instrText>
      </w:r>
      <w:r>
        <w:rPr>
          <w:rFonts w:ascii="仿宋" w:hAnsi="仿宋"/>
          <w:sz w:val="28"/>
          <w:szCs w:val="28"/>
        </w:rPr>
        <w:fldChar w:fldCharType="separate"/>
      </w:r>
      <w:r>
        <w:rPr>
          <w:rFonts w:ascii="仿宋" w:hAnsi="仿宋"/>
          <w:sz w:val="28"/>
          <w:szCs w:val="28"/>
        </w:rPr>
        <w:t>21</w:t>
      </w:r>
      <w:r>
        <w:rPr>
          <w:rFonts w:ascii="仿宋" w:hAnsi="仿宋"/>
          <w:sz w:val="28"/>
          <w:szCs w:val="28"/>
        </w:rPr>
        <w:fldChar w:fldCharType="end"/>
      </w:r>
      <w:r>
        <w:rPr>
          <w:rFonts w:ascii="仿宋" w:hAnsi="仿宋"/>
          <w:sz w:val="28"/>
          <w:szCs w:val="28"/>
        </w:rPr>
        <w:fldChar w:fldCharType="end"/>
      </w:r>
    </w:p>
    <w:p>
      <w:pPr>
        <w:pStyle w:val="26"/>
        <w:tabs>
          <w:tab w:val="right" w:leader="dot" w:pos="8296"/>
        </w:tabs>
        <w:ind w:firstLine="560"/>
        <w:rPr>
          <w:rFonts w:ascii="仿宋" w:hAnsi="仿宋" w:cstheme="minorBidi"/>
          <w:smallCaps w:val="0"/>
          <w:sz w:val="28"/>
          <w:szCs w:val="28"/>
        </w:rPr>
      </w:pPr>
      <w:r>
        <w:fldChar w:fldCharType="begin"/>
      </w:r>
      <w:r>
        <w:instrText xml:space="preserve"> HYPERLINK \l "_Toc107308247" </w:instrText>
      </w:r>
      <w:r>
        <w:fldChar w:fldCharType="separate"/>
      </w:r>
      <w:r>
        <w:rPr>
          <w:rStyle w:val="37"/>
          <w:rFonts w:ascii="仿宋" w:hAnsi="仿宋"/>
          <w:sz w:val="28"/>
          <w:szCs w:val="28"/>
        </w:rPr>
        <w:t>（四）引导拓展老龄用品发展</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_Toc107308247 \h </w:instrText>
      </w:r>
      <w:r>
        <w:rPr>
          <w:rFonts w:ascii="仿宋" w:hAnsi="仿宋"/>
          <w:sz w:val="28"/>
          <w:szCs w:val="28"/>
        </w:rPr>
        <w:fldChar w:fldCharType="separate"/>
      </w:r>
      <w:r>
        <w:rPr>
          <w:rFonts w:ascii="仿宋" w:hAnsi="仿宋"/>
          <w:sz w:val="28"/>
          <w:szCs w:val="28"/>
        </w:rPr>
        <w:t>22</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"_Toc107308248" </w:instrText>
      </w:r>
      <w:r>
        <w:fldChar w:fldCharType="separate"/>
      </w:r>
      <w:r>
        <w:rPr>
          <w:rStyle w:val="37"/>
          <w:rFonts w:ascii="仿宋" w:hAnsi="仿宋"/>
          <w:sz w:val="28"/>
          <w:szCs w:val="28"/>
        </w:rPr>
        <w:t>1.加强老龄用品研发制造</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_Toc107308248 \h </w:instrText>
      </w:r>
      <w:r>
        <w:rPr>
          <w:rFonts w:ascii="仿宋" w:hAnsi="仿宋"/>
          <w:sz w:val="28"/>
          <w:szCs w:val="28"/>
        </w:rPr>
        <w:fldChar w:fldCharType="separate"/>
      </w:r>
      <w:r>
        <w:rPr>
          <w:rFonts w:ascii="仿宋" w:hAnsi="仿宋"/>
          <w:sz w:val="28"/>
          <w:szCs w:val="28"/>
        </w:rPr>
        <w:t>22</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"_Toc107308249" </w:instrText>
      </w:r>
      <w:r>
        <w:fldChar w:fldCharType="separate"/>
      </w:r>
      <w:r>
        <w:rPr>
          <w:rStyle w:val="37"/>
          <w:rFonts w:ascii="仿宋" w:hAnsi="仿宋"/>
          <w:sz w:val="28"/>
          <w:szCs w:val="28"/>
        </w:rPr>
        <w:t>2.拓展老龄用品销售租赁</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_Toc107308249 \h </w:instrText>
      </w:r>
      <w:r>
        <w:rPr>
          <w:rFonts w:ascii="仿宋" w:hAnsi="仿宋"/>
          <w:sz w:val="28"/>
          <w:szCs w:val="28"/>
        </w:rPr>
        <w:fldChar w:fldCharType="separate"/>
      </w:r>
      <w:r>
        <w:rPr>
          <w:rFonts w:ascii="仿宋" w:hAnsi="仿宋"/>
          <w:sz w:val="28"/>
          <w:szCs w:val="28"/>
        </w:rPr>
        <w:t>23</w:t>
      </w:r>
      <w:r>
        <w:rPr>
          <w:rFonts w:ascii="仿宋" w:hAnsi="仿宋"/>
          <w:sz w:val="28"/>
          <w:szCs w:val="28"/>
        </w:rPr>
        <w:fldChar w:fldCharType="end"/>
      </w:r>
      <w:r>
        <w:rPr>
          <w:rFonts w:ascii="仿宋" w:hAnsi="仿宋"/>
          <w:sz w:val="28"/>
          <w:szCs w:val="28"/>
        </w:rPr>
        <w:fldChar w:fldCharType="end"/>
      </w:r>
    </w:p>
    <w:p>
      <w:pPr>
        <w:pStyle w:val="26"/>
        <w:tabs>
          <w:tab w:val="right" w:leader="dot" w:pos="8296"/>
        </w:tabs>
        <w:ind w:firstLine="560"/>
        <w:rPr>
          <w:rFonts w:ascii="仿宋" w:hAnsi="仿宋" w:cstheme="minorBidi"/>
          <w:smallCaps w:val="0"/>
          <w:sz w:val="28"/>
          <w:szCs w:val="28"/>
        </w:rPr>
      </w:pPr>
      <w:r>
        <w:fldChar w:fldCharType="begin"/>
      </w:r>
      <w:r>
        <w:instrText xml:space="preserve"> HYPERLINK \l "_Toc107308250" </w:instrText>
      </w:r>
      <w:r>
        <w:fldChar w:fldCharType="separate"/>
      </w:r>
      <w:r>
        <w:rPr>
          <w:rStyle w:val="37"/>
          <w:rFonts w:ascii="仿宋" w:hAnsi="仿宋"/>
          <w:sz w:val="28"/>
          <w:szCs w:val="28"/>
        </w:rPr>
        <w:t>（五）智慧赋能产业转型升级</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_Toc107308250 \h </w:instrText>
      </w:r>
      <w:r>
        <w:rPr>
          <w:rFonts w:ascii="仿宋" w:hAnsi="仿宋"/>
          <w:sz w:val="28"/>
          <w:szCs w:val="28"/>
        </w:rPr>
        <w:fldChar w:fldCharType="separate"/>
      </w:r>
      <w:r>
        <w:rPr>
          <w:rFonts w:ascii="仿宋" w:hAnsi="仿宋"/>
          <w:sz w:val="28"/>
          <w:szCs w:val="28"/>
        </w:rPr>
        <w:t>23</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"_Toc107308251" </w:instrText>
      </w:r>
      <w:r>
        <w:fldChar w:fldCharType="separate"/>
      </w:r>
      <w:r>
        <w:rPr>
          <w:rStyle w:val="37"/>
          <w:rFonts w:ascii="仿宋" w:hAnsi="仿宋"/>
          <w:sz w:val="28"/>
          <w:szCs w:val="28"/>
        </w:rPr>
        <w:t>1.推进政府治理数字化</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_Toc107308251 \h </w:instrText>
      </w:r>
      <w:r>
        <w:rPr>
          <w:rFonts w:ascii="仿宋" w:hAnsi="仿宋"/>
          <w:sz w:val="28"/>
          <w:szCs w:val="28"/>
        </w:rPr>
        <w:fldChar w:fldCharType="separate"/>
      </w:r>
      <w:r>
        <w:rPr>
          <w:rFonts w:ascii="仿宋" w:hAnsi="仿宋"/>
          <w:sz w:val="28"/>
          <w:szCs w:val="28"/>
        </w:rPr>
        <w:t>23</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"_Toc107308252" </w:instrText>
      </w:r>
      <w:r>
        <w:fldChar w:fldCharType="separate"/>
      </w:r>
      <w:r>
        <w:rPr>
          <w:rStyle w:val="37"/>
          <w:rFonts w:ascii="仿宋" w:hAnsi="仿宋"/>
          <w:sz w:val="28"/>
          <w:szCs w:val="28"/>
        </w:rPr>
        <w:t>2.促进机构管理信息化</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_Toc107308252 \h </w:instrText>
      </w:r>
      <w:r>
        <w:rPr>
          <w:rFonts w:ascii="仿宋" w:hAnsi="仿宋"/>
          <w:sz w:val="28"/>
          <w:szCs w:val="28"/>
        </w:rPr>
        <w:fldChar w:fldCharType="separate"/>
      </w:r>
      <w:r>
        <w:rPr>
          <w:rFonts w:ascii="仿宋" w:hAnsi="仿宋"/>
          <w:sz w:val="28"/>
          <w:szCs w:val="28"/>
        </w:rPr>
        <w:t>23</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"_Toc107308253" </w:instrText>
      </w:r>
      <w:r>
        <w:fldChar w:fldCharType="separate"/>
      </w:r>
      <w:r>
        <w:rPr>
          <w:rStyle w:val="37"/>
          <w:rFonts w:ascii="仿宋" w:hAnsi="仿宋"/>
          <w:sz w:val="28"/>
          <w:szCs w:val="28"/>
        </w:rPr>
        <w:t>3.增进智慧助老普及化</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_Toc107308253 \h </w:instrText>
      </w:r>
      <w:r>
        <w:rPr>
          <w:rFonts w:ascii="仿宋" w:hAnsi="仿宋"/>
          <w:sz w:val="28"/>
          <w:szCs w:val="28"/>
        </w:rPr>
        <w:fldChar w:fldCharType="separate"/>
      </w:r>
      <w:r>
        <w:rPr>
          <w:rFonts w:ascii="仿宋" w:hAnsi="仿宋"/>
          <w:sz w:val="28"/>
          <w:szCs w:val="28"/>
        </w:rPr>
        <w:t>24</w:t>
      </w:r>
      <w:r>
        <w:rPr>
          <w:rFonts w:ascii="仿宋" w:hAnsi="仿宋"/>
          <w:sz w:val="28"/>
          <w:szCs w:val="28"/>
        </w:rPr>
        <w:fldChar w:fldCharType="end"/>
      </w:r>
      <w:r>
        <w:rPr>
          <w:rFonts w:ascii="仿宋" w:hAnsi="仿宋"/>
          <w:sz w:val="28"/>
          <w:szCs w:val="28"/>
        </w:rPr>
        <w:fldChar w:fldCharType="end"/>
      </w:r>
    </w:p>
    <w:p>
      <w:pPr>
        <w:pStyle w:val="26"/>
        <w:tabs>
          <w:tab w:val="right" w:leader="dot" w:pos="8296"/>
        </w:tabs>
        <w:ind w:firstLine="560"/>
        <w:rPr>
          <w:rFonts w:ascii="仿宋" w:hAnsi="仿宋" w:cstheme="minorBidi"/>
          <w:smallCaps w:val="0"/>
          <w:sz w:val="28"/>
          <w:szCs w:val="28"/>
        </w:rPr>
      </w:pPr>
      <w:r>
        <w:fldChar w:fldCharType="begin"/>
      </w:r>
      <w:r>
        <w:instrText xml:space="preserve"> HYPERLINK \l "_Toc107308254" </w:instrText>
      </w:r>
      <w:r>
        <w:fldChar w:fldCharType="separate"/>
      </w:r>
      <w:r>
        <w:rPr>
          <w:rStyle w:val="37"/>
          <w:rFonts w:ascii="仿宋" w:hAnsi="仿宋"/>
          <w:sz w:val="28"/>
          <w:szCs w:val="28"/>
        </w:rPr>
        <w:t>（六）优化市场环境扩大对外开放</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_Toc107308254 \h </w:instrText>
      </w:r>
      <w:r>
        <w:rPr>
          <w:rFonts w:ascii="仿宋" w:hAnsi="仿宋"/>
          <w:sz w:val="28"/>
          <w:szCs w:val="28"/>
        </w:rPr>
        <w:fldChar w:fldCharType="separate"/>
      </w:r>
      <w:r>
        <w:rPr>
          <w:rFonts w:ascii="仿宋" w:hAnsi="仿宋"/>
          <w:sz w:val="28"/>
          <w:szCs w:val="28"/>
        </w:rPr>
        <w:t>24</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"_Toc107308255" </w:instrText>
      </w:r>
      <w:r>
        <w:fldChar w:fldCharType="separate"/>
      </w:r>
      <w:r>
        <w:rPr>
          <w:rStyle w:val="37"/>
          <w:rFonts w:ascii="仿宋" w:hAnsi="仿宋"/>
          <w:sz w:val="28"/>
          <w:szCs w:val="28"/>
        </w:rPr>
        <w:t>1.激发市场主体活力</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_Toc107308255 \h </w:instrText>
      </w:r>
      <w:r>
        <w:rPr>
          <w:rFonts w:ascii="仿宋" w:hAnsi="仿宋"/>
          <w:sz w:val="28"/>
          <w:szCs w:val="28"/>
        </w:rPr>
        <w:fldChar w:fldCharType="separate"/>
      </w:r>
      <w:r>
        <w:rPr>
          <w:rFonts w:ascii="仿宋" w:hAnsi="仿宋"/>
          <w:sz w:val="28"/>
          <w:szCs w:val="28"/>
        </w:rPr>
        <w:t>24</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"_Toc107308256" </w:instrText>
      </w:r>
      <w:r>
        <w:fldChar w:fldCharType="separate"/>
      </w:r>
      <w:r>
        <w:rPr>
          <w:rStyle w:val="37"/>
          <w:rFonts w:ascii="仿宋" w:hAnsi="仿宋"/>
          <w:sz w:val="28"/>
          <w:szCs w:val="28"/>
        </w:rPr>
        <w:t>2.挖掘市内消费潜力</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_Toc107308256 \h </w:instrText>
      </w:r>
      <w:r>
        <w:rPr>
          <w:rFonts w:ascii="仿宋" w:hAnsi="仿宋"/>
          <w:sz w:val="28"/>
          <w:szCs w:val="28"/>
        </w:rPr>
        <w:fldChar w:fldCharType="separate"/>
      </w:r>
      <w:r>
        <w:rPr>
          <w:rFonts w:ascii="仿宋" w:hAnsi="仿宋"/>
          <w:sz w:val="28"/>
          <w:szCs w:val="28"/>
        </w:rPr>
        <w:t>25</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"_Toc107308257" </w:instrText>
      </w:r>
      <w:r>
        <w:fldChar w:fldCharType="separate"/>
      </w:r>
      <w:r>
        <w:rPr>
          <w:rStyle w:val="37"/>
          <w:rFonts w:ascii="仿宋" w:hAnsi="仿宋"/>
          <w:sz w:val="28"/>
          <w:szCs w:val="28"/>
        </w:rPr>
        <w:t>3.推进区域协同发展</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_Toc107308257 \h </w:instrText>
      </w:r>
      <w:r>
        <w:rPr>
          <w:rFonts w:ascii="仿宋" w:hAnsi="仿宋"/>
          <w:sz w:val="28"/>
          <w:szCs w:val="28"/>
        </w:rPr>
        <w:fldChar w:fldCharType="separate"/>
      </w:r>
      <w:r>
        <w:rPr>
          <w:rFonts w:ascii="仿宋" w:hAnsi="仿宋"/>
          <w:sz w:val="28"/>
          <w:szCs w:val="28"/>
        </w:rPr>
        <w:t>25</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"_Toc107308258" </w:instrText>
      </w:r>
      <w:r>
        <w:fldChar w:fldCharType="separate"/>
      </w:r>
      <w:r>
        <w:rPr>
          <w:rStyle w:val="37"/>
          <w:rFonts w:ascii="仿宋" w:hAnsi="仿宋"/>
          <w:sz w:val="28"/>
          <w:szCs w:val="28"/>
        </w:rPr>
        <w:t>4.开展多元市场营销</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_Toc107308258 \h </w:instrText>
      </w:r>
      <w:r>
        <w:rPr>
          <w:rFonts w:ascii="仿宋" w:hAnsi="仿宋"/>
          <w:sz w:val="28"/>
          <w:szCs w:val="28"/>
        </w:rPr>
        <w:fldChar w:fldCharType="separate"/>
      </w:r>
      <w:r>
        <w:rPr>
          <w:rFonts w:ascii="仿宋" w:hAnsi="仿宋"/>
          <w:sz w:val="28"/>
          <w:szCs w:val="28"/>
        </w:rPr>
        <w:t>25</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"_Toc107308259" </w:instrText>
      </w:r>
      <w:r>
        <w:fldChar w:fldCharType="separate"/>
      </w:r>
      <w:r>
        <w:rPr>
          <w:rStyle w:val="37"/>
          <w:rFonts w:ascii="仿宋" w:hAnsi="仿宋"/>
          <w:sz w:val="28"/>
          <w:szCs w:val="28"/>
        </w:rPr>
        <w:t>5.加强消费权益保护</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_Toc107308259 \h </w:instrText>
      </w:r>
      <w:r>
        <w:rPr>
          <w:rFonts w:ascii="仿宋" w:hAnsi="仿宋"/>
          <w:sz w:val="28"/>
          <w:szCs w:val="28"/>
        </w:rPr>
        <w:fldChar w:fldCharType="separate"/>
      </w:r>
      <w:r>
        <w:rPr>
          <w:rFonts w:ascii="仿宋" w:hAnsi="仿宋"/>
          <w:sz w:val="28"/>
          <w:szCs w:val="28"/>
        </w:rPr>
        <w:t>26</w:t>
      </w:r>
      <w:r>
        <w:rPr>
          <w:rFonts w:ascii="仿宋" w:hAnsi="仿宋"/>
          <w:sz w:val="28"/>
          <w:szCs w:val="28"/>
        </w:rPr>
        <w:fldChar w:fldCharType="end"/>
      </w:r>
      <w:r>
        <w:rPr>
          <w:rFonts w:ascii="仿宋" w:hAnsi="仿宋"/>
          <w:sz w:val="28"/>
          <w:szCs w:val="28"/>
        </w:rPr>
        <w:fldChar w:fldCharType="end"/>
      </w:r>
    </w:p>
    <w:p>
      <w:pPr>
        <w:pStyle w:val="26"/>
        <w:tabs>
          <w:tab w:val="right" w:leader="dot" w:pos="8296"/>
        </w:tabs>
        <w:ind w:firstLine="560"/>
        <w:rPr>
          <w:rFonts w:ascii="仿宋" w:hAnsi="仿宋" w:cstheme="minorBidi"/>
          <w:smallCaps w:val="0"/>
          <w:sz w:val="28"/>
          <w:szCs w:val="28"/>
        </w:rPr>
      </w:pPr>
      <w:r>
        <w:fldChar w:fldCharType="begin"/>
      </w:r>
      <w:r>
        <w:instrText xml:space="preserve"> HYPERLINK \l "_Toc107308260" </w:instrText>
      </w:r>
      <w:r>
        <w:fldChar w:fldCharType="separate"/>
      </w:r>
      <w:r>
        <w:rPr>
          <w:rStyle w:val="37"/>
          <w:rFonts w:ascii="仿宋" w:hAnsi="仿宋"/>
          <w:sz w:val="28"/>
          <w:szCs w:val="28"/>
        </w:rPr>
        <w:t>（七）健全发展要素支撑体系</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_Toc107308260 \h </w:instrText>
      </w:r>
      <w:r>
        <w:rPr>
          <w:rFonts w:ascii="仿宋" w:hAnsi="仿宋"/>
          <w:sz w:val="28"/>
          <w:szCs w:val="28"/>
        </w:rPr>
        <w:fldChar w:fldCharType="separate"/>
      </w:r>
      <w:r>
        <w:rPr>
          <w:rFonts w:ascii="仿宋" w:hAnsi="仿宋"/>
          <w:sz w:val="28"/>
          <w:szCs w:val="28"/>
        </w:rPr>
        <w:t>27</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"_Toc107308261" </w:instrText>
      </w:r>
      <w:r>
        <w:fldChar w:fldCharType="separate"/>
      </w:r>
      <w:r>
        <w:rPr>
          <w:rStyle w:val="37"/>
          <w:rFonts w:ascii="仿宋" w:hAnsi="仿宋"/>
          <w:sz w:val="28"/>
          <w:szCs w:val="28"/>
        </w:rPr>
        <w:t>1.健全完善政策配套</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_Toc107308261 \h </w:instrText>
      </w:r>
      <w:r>
        <w:rPr>
          <w:rFonts w:ascii="仿宋" w:hAnsi="仿宋"/>
          <w:sz w:val="28"/>
          <w:szCs w:val="28"/>
        </w:rPr>
        <w:fldChar w:fldCharType="separate"/>
      </w:r>
      <w:r>
        <w:rPr>
          <w:rFonts w:ascii="仿宋" w:hAnsi="仿宋"/>
          <w:sz w:val="28"/>
          <w:szCs w:val="28"/>
        </w:rPr>
        <w:t>27</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"_Toc107308262" </w:instrText>
      </w:r>
      <w:r>
        <w:fldChar w:fldCharType="separate"/>
      </w:r>
      <w:r>
        <w:rPr>
          <w:rStyle w:val="37"/>
          <w:rFonts w:ascii="仿宋" w:hAnsi="仿宋"/>
          <w:sz w:val="28"/>
          <w:szCs w:val="28"/>
        </w:rPr>
        <w:t>2.加强资源保障支撑</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_Toc107308262 \h </w:instrText>
      </w:r>
      <w:r>
        <w:rPr>
          <w:rFonts w:ascii="仿宋" w:hAnsi="仿宋"/>
          <w:sz w:val="28"/>
          <w:szCs w:val="28"/>
        </w:rPr>
        <w:fldChar w:fldCharType="separate"/>
      </w:r>
      <w:r>
        <w:rPr>
          <w:rFonts w:ascii="仿宋" w:hAnsi="仿宋"/>
          <w:sz w:val="28"/>
          <w:szCs w:val="28"/>
        </w:rPr>
        <w:t>27</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"_Toc107308263" </w:instrText>
      </w:r>
      <w:r>
        <w:fldChar w:fldCharType="separate"/>
      </w:r>
      <w:r>
        <w:rPr>
          <w:rStyle w:val="37"/>
          <w:rFonts w:ascii="仿宋" w:hAnsi="仿宋"/>
          <w:sz w:val="28"/>
          <w:szCs w:val="28"/>
        </w:rPr>
        <w:t>3.加大资金保障力度</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_Toc107308263 \h </w:instrText>
      </w:r>
      <w:r>
        <w:rPr>
          <w:rFonts w:ascii="仿宋" w:hAnsi="仿宋"/>
          <w:sz w:val="28"/>
          <w:szCs w:val="28"/>
        </w:rPr>
        <w:fldChar w:fldCharType="separate"/>
      </w:r>
      <w:r>
        <w:rPr>
          <w:rFonts w:ascii="仿宋" w:hAnsi="仿宋"/>
          <w:sz w:val="28"/>
          <w:szCs w:val="28"/>
        </w:rPr>
        <w:t>28</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"_Toc107308264" </w:instrText>
      </w:r>
      <w:r>
        <w:fldChar w:fldCharType="separate"/>
      </w:r>
      <w:r>
        <w:rPr>
          <w:rStyle w:val="37"/>
          <w:rFonts w:ascii="仿宋" w:hAnsi="仿宋"/>
          <w:sz w:val="28"/>
          <w:szCs w:val="28"/>
        </w:rPr>
        <w:t>4.推进人才队伍建设</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_Toc107308264 \h </w:instrText>
      </w:r>
      <w:r>
        <w:rPr>
          <w:rFonts w:ascii="仿宋" w:hAnsi="仿宋"/>
          <w:sz w:val="28"/>
          <w:szCs w:val="28"/>
        </w:rPr>
        <w:fldChar w:fldCharType="separate"/>
      </w:r>
      <w:r>
        <w:rPr>
          <w:rFonts w:ascii="仿宋" w:hAnsi="仿宋"/>
          <w:sz w:val="28"/>
          <w:szCs w:val="28"/>
        </w:rPr>
        <w:t>28</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"_Toc107308265" </w:instrText>
      </w:r>
      <w:r>
        <w:fldChar w:fldCharType="separate"/>
      </w:r>
      <w:r>
        <w:rPr>
          <w:rStyle w:val="37"/>
          <w:rFonts w:ascii="仿宋" w:hAnsi="仿宋"/>
          <w:sz w:val="28"/>
          <w:szCs w:val="28"/>
        </w:rPr>
        <w:t>5.建设老年友好环境</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_Toc107308265 \h </w:instrText>
      </w:r>
      <w:r>
        <w:rPr>
          <w:rFonts w:ascii="仿宋" w:hAnsi="仿宋"/>
          <w:sz w:val="28"/>
          <w:szCs w:val="28"/>
        </w:rPr>
        <w:fldChar w:fldCharType="separate"/>
      </w:r>
      <w:r>
        <w:rPr>
          <w:rFonts w:ascii="仿宋" w:hAnsi="仿宋"/>
          <w:sz w:val="28"/>
          <w:szCs w:val="28"/>
        </w:rPr>
        <w:t>29</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"_Toc107308266" </w:instrText>
      </w:r>
      <w:r>
        <w:fldChar w:fldCharType="separate"/>
      </w:r>
      <w:r>
        <w:rPr>
          <w:rStyle w:val="37"/>
          <w:rFonts w:ascii="仿宋" w:hAnsi="仿宋"/>
          <w:sz w:val="28"/>
          <w:szCs w:val="28"/>
        </w:rPr>
        <w:t>6.完善综合监管体系</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_Toc107308266 \h </w:instrText>
      </w:r>
      <w:r>
        <w:rPr>
          <w:rFonts w:ascii="仿宋" w:hAnsi="仿宋"/>
          <w:sz w:val="28"/>
          <w:szCs w:val="28"/>
        </w:rPr>
        <w:fldChar w:fldCharType="separate"/>
      </w:r>
      <w:r>
        <w:rPr>
          <w:rFonts w:ascii="仿宋" w:hAnsi="仿宋"/>
          <w:sz w:val="28"/>
          <w:szCs w:val="28"/>
        </w:rPr>
        <w:t>30</w:t>
      </w:r>
      <w:r>
        <w:rPr>
          <w:rFonts w:ascii="仿宋" w:hAnsi="仿宋"/>
          <w:sz w:val="28"/>
          <w:szCs w:val="28"/>
        </w:rPr>
        <w:fldChar w:fldCharType="end"/>
      </w:r>
      <w:r>
        <w:rPr>
          <w:rFonts w:ascii="仿宋" w:hAnsi="仿宋"/>
          <w:sz w:val="28"/>
          <w:szCs w:val="28"/>
        </w:rPr>
        <w:fldChar w:fldCharType="end"/>
      </w:r>
    </w:p>
    <w:p>
      <w:pPr>
        <w:pStyle w:val="13"/>
        <w:tabs>
          <w:tab w:val="right" w:leader="dot" w:pos="8296"/>
        </w:tabs>
        <w:ind w:firstLine="560"/>
        <w:rPr>
          <w:rFonts w:ascii="仿宋" w:hAnsi="仿宋" w:cstheme="minorBidi"/>
          <w:i w:val="0"/>
          <w:iCs w:val="0"/>
          <w:sz w:val="28"/>
          <w:szCs w:val="28"/>
        </w:rPr>
      </w:pPr>
      <w:r>
        <w:fldChar w:fldCharType="begin"/>
      </w:r>
      <w:r>
        <w:instrText xml:space="preserve"> HYPERLINK \l "_Toc107308267" </w:instrText>
      </w:r>
      <w:r>
        <w:fldChar w:fldCharType="separate"/>
      </w:r>
      <w:r>
        <w:rPr>
          <w:rStyle w:val="37"/>
          <w:rFonts w:ascii="仿宋" w:hAnsi="仿宋"/>
          <w:sz w:val="28"/>
          <w:szCs w:val="28"/>
        </w:rPr>
        <w:t>7.建立完善行业标准</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_Toc107308267 \h </w:instrText>
      </w:r>
      <w:r>
        <w:rPr>
          <w:rFonts w:ascii="仿宋" w:hAnsi="仿宋"/>
          <w:sz w:val="28"/>
          <w:szCs w:val="28"/>
        </w:rPr>
        <w:fldChar w:fldCharType="separate"/>
      </w:r>
      <w:r>
        <w:rPr>
          <w:rFonts w:ascii="仿宋" w:hAnsi="仿宋"/>
          <w:sz w:val="28"/>
          <w:szCs w:val="28"/>
        </w:rPr>
        <w:t>30</w:t>
      </w:r>
      <w:r>
        <w:rPr>
          <w:rFonts w:ascii="仿宋" w:hAnsi="仿宋"/>
          <w:sz w:val="28"/>
          <w:szCs w:val="28"/>
        </w:rPr>
        <w:fldChar w:fldCharType="end"/>
      </w:r>
      <w:r>
        <w:rPr>
          <w:rFonts w:ascii="仿宋" w:hAnsi="仿宋"/>
          <w:sz w:val="28"/>
          <w:szCs w:val="28"/>
        </w:rPr>
        <w:fldChar w:fldCharType="end"/>
      </w:r>
    </w:p>
    <w:p>
      <w:pPr>
        <w:pStyle w:val="21"/>
        <w:tabs>
          <w:tab w:val="right" w:leader="dot" w:pos="8296"/>
        </w:tabs>
        <w:ind w:firstLine="562"/>
        <w:rPr>
          <w:rFonts w:ascii="仿宋" w:hAnsi="仿宋" w:cstheme="minorBidi"/>
          <w:b w:val="0"/>
          <w:bCs w:val="0"/>
          <w:caps w:val="0"/>
          <w:sz w:val="28"/>
          <w:szCs w:val="28"/>
        </w:rPr>
      </w:pPr>
      <w:r>
        <w:fldChar w:fldCharType="begin"/>
      </w:r>
      <w:r>
        <w:instrText xml:space="preserve"> HYPERLINK \l "_Toc107308268" </w:instrText>
      </w:r>
      <w:r>
        <w:fldChar w:fldCharType="separate"/>
      </w:r>
      <w:r>
        <w:rPr>
          <w:rStyle w:val="37"/>
          <w:rFonts w:ascii="仿宋" w:hAnsi="仿宋"/>
          <w:sz w:val="28"/>
          <w:szCs w:val="28"/>
        </w:rPr>
        <w:t>四、实施保障</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_Toc107308268 \h </w:instrText>
      </w:r>
      <w:r>
        <w:rPr>
          <w:rFonts w:ascii="仿宋" w:hAnsi="仿宋"/>
          <w:sz w:val="28"/>
          <w:szCs w:val="28"/>
        </w:rPr>
        <w:fldChar w:fldCharType="separate"/>
      </w:r>
      <w:r>
        <w:rPr>
          <w:rFonts w:ascii="仿宋" w:hAnsi="仿宋"/>
          <w:sz w:val="28"/>
          <w:szCs w:val="28"/>
        </w:rPr>
        <w:t>30</w:t>
      </w:r>
      <w:r>
        <w:rPr>
          <w:rFonts w:ascii="仿宋" w:hAnsi="仿宋"/>
          <w:sz w:val="28"/>
          <w:szCs w:val="28"/>
        </w:rPr>
        <w:fldChar w:fldCharType="end"/>
      </w:r>
      <w:r>
        <w:rPr>
          <w:rFonts w:ascii="仿宋" w:hAnsi="仿宋"/>
          <w:sz w:val="28"/>
          <w:szCs w:val="28"/>
        </w:rPr>
        <w:fldChar w:fldCharType="end"/>
      </w:r>
    </w:p>
    <w:p>
      <w:pPr>
        <w:pStyle w:val="26"/>
        <w:tabs>
          <w:tab w:val="right" w:leader="dot" w:pos="8296"/>
        </w:tabs>
        <w:ind w:firstLine="560"/>
        <w:rPr>
          <w:rFonts w:ascii="仿宋" w:hAnsi="仿宋" w:cstheme="minorBidi"/>
          <w:smallCaps w:val="0"/>
          <w:sz w:val="28"/>
          <w:szCs w:val="28"/>
        </w:rPr>
      </w:pPr>
      <w:r>
        <w:fldChar w:fldCharType="begin"/>
      </w:r>
      <w:r>
        <w:instrText xml:space="preserve"> HYPERLINK \l "_Toc107308269" </w:instrText>
      </w:r>
      <w:r>
        <w:fldChar w:fldCharType="separate"/>
      </w:r>
      <w:r>
        <w:rPr>
          <w:rStyle w:val="37"/>
          <w:rFonts w:ascii="仿宋" w:hAnsi="仿宋"/>
          <w:sz w:val="28"/>
          <w:szCs w:val="28"/>
        </w:rPr>
        <w:t>（一）全面加强党的领导</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_Toc107308269 \h </w:instrText>
      </w:r>
      <w:r>
        <w:rPr>
          <w:rFonts w:ascii="仿宋" w:hAnsi="仿宋"/>
          <w:sz w:val="28"/>
          <w:szCs w:val="28"/>
        </w:rPr>
        <w:fldChar w:fldCharType="separate"/>
      </w:r>
      <w:r>
        <w:rPr>
          <w:rFonts w:ascii="仿宋" w:hAnsi="仿宋"/>
          <w:sz w:val="28"/>
          <w:szCs w:val="28"/>
        </w:rPr>
        <w:t>30</w:t>
      </w:r>
      <w:r>
        <w:rPr>
          <w:rFonts w:ascii="仿宋" w:hAnsi="仿宋"/>
          <w:sz w:val="28"/>
          <w:szCs w:val="28"/>
        </w:rPr>
        <w:fldChar w:fldCharType="end"/>
      </w:r>
      <w:r>
        <w:rPr>
          <w:rFonts w:ascii="仿宋" w:hAnsi="仿宋"/>
          <w:sz w:val="28"/>
          <w:szCs w:val="28"/>
        </w:rPr>
        <w:fldChar w:fldCharType="end"/>
      </w:r>
    </w:p>
    <w:p>
      <w:pPr>
        <w:pStyle w:val="26"/>
        <w:tabs>
          <w:tab w:val="right" w:leader="dot" w:pos="8296"/>
        </w:tabs>
        <w:ind w:firstLine="560"/>
        <w:rPr>
          <w:rFonts w:ascii="仿宋" w:hAnsi="仿宋" w:cstheme="minorBidi"/>
          <w:smallCaps w:val="0"/>
          <w:sz w:val="28"/>
          <w:szCs w:val="28"/>
        </w:rPr>
      </w:pPr>
      <w:r>
        <w:fldChar w:fldCharType="begin"/>
      </w:r>
      <w:r>
        <w:instrText xml:space="preserve"> HYPERLINK \l "_Toc107308270" </w:instrText>
      </w:r>
      <w:r>
        <w:fldChar w:fldCharType="separate"/>
      </w:r>
      <w:r>
        <w:rPr>
          <w:rStyle w:val="37"/>
          <w:rFonts w:ascii="仿宋" w:hAnsi="仿宋"/>
          <w:sz w:val="28"/>
          <w:szCs w:val="28"/>
        </w:rPr>
        <w:t>（二）落实规划实施责任</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_Toc107308270 \h </w:instrText>
      </w:r>
      <w:r>
        <w:rPr>
          <w:rFonts w:ascii="仿宋" w:hAnsi="仿宋"/>
          <w:sz w:val="28"/>
          <w:szCs w:val="28"/>
        </w:rPr>
        <w:fldChar w:fldCharType="separate"/>
      </w:r>
      <w:r>
        <w:rPr>
          <w:rFonts w:ascii="仿宋" w:hAnsi="仿宋"/>
          <w:sz w:val="28"/>
          <w:szCs w:val="28"/>
        </w:rPr>
        <w:t>30</w:t>
      </w:r>
      <w:r>
        <w:rPr>
          <w:rFonts w:ascii="仿宋" w:hAnsi="仿宋"/>
          <w:sz w:val="28"/>
          <w:szCs w:val="28"/>
        </w:rPr>
        <w:fldChar w:fldCharType="end"/>
      </w:r>
      <w:r>
        <w:rPr>
          <w:rFonts w:ascii="仿宋" w:hAnsi="仿宋"/>
          <w:sz w:val="28"/>
          <w:szCs w:val="28"/>
        </w:rPr>
        <w:fldChar w:fldCharType="end"/>
      </w:r>
    </w:p>
    <w:p>
      <w:pPr>
        <w:pStyle w:val="26"/>
        <w:tabs>
          <w:tab w:val="right" w:leader="dot" w:pos="8296"/>
        </w:tabs>
        <w:ind w:firstLine="560"/>
        <w:rPr>
          <w:rFonts w:ascii="仿宋" w:hAnsi="仿宋" w:cstheme="minorBidi"/>
          <w:smallCaps w:val="0"/>
          <w:sz w:val="28"/>
          <w:szCs w:val="28"/>
        </w:rPr>
      </w:pPr>
      <w:r>
        <w:fldChar w:fldCharType="begin"/>
      </w:r>
      <w:r>
        <w:instrText xml:space="preserve"> HYPERLINK \l "_Toc107308271" </w:instrText>
      </w:r>
      <w:r>
        <w:fldChar w:fldCharType="separate"/>
      </w:r>
      <w:r>
        <w:rPr>
          <w:rStyle w:val="37"/>
          <w:rFonts w:ascii="仿宋" w:hAnsi="仿宋"/>
          <w:sz w:val="28"/>
          <w:szCs w:val="28"/>
        </w:rPr>
        <w:t>（三）加强实施监测评估</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_Toc107308271 \h </w:instrText>
      </w:r>
      <w:r>
        <w:rPr>
          <w:rFonts w:ascii="仿宋" w:hAnsi="仿宋"/>
          <w:sz w:val="28"/>
          <w:szCs w:val="28"/>
        </w:rPr>
        <w:fldChar w:fldCharType="separate"/>
      </w:r>
      <w:r>
        <w:rPr>
          <w:rFonts w:ascii="仿宋" w:hAnsi="仿宋"/>
          <w:sz w:val="28"/>
          <w:szCs w:val="28"/>
        </w:rPr>
        <w:t>31</w:t>
      </w:r>
      <w:r>
        <w:rPr>
          <w:rFonts w:ascii="仿宋" w:hAnsi="仿宋"/>
          <w:sz w:val="28"/>
          <w:szCs w:val="28"/>
        </w:rPr>
        <w:fldChar w:fldCharType="end"/>
      </w:r>
      <w:r>
        <w:rPr>
          <w:rFonts w:ascii="仿宋" w:hAnsi="仿宋"/>
          <w:sz w:val="28"/>
          <w:szCs w:val="28"/>
        </w:rPr>
        <w:fldChar w:fldCharType="end"/>
      </w:r>
    </w:p>
    <w:p>
      <w:pPr>
        <w:pStyle w:val="26"/>
        <w:tabs>
          <w:tab w:val="right" w:leader="dot" w:pos="8296"/>
        </w:tabs>
        <w:ind w:firstLine="560"/>
        <w:rPr>
          <w:rFonts w:ascii="仿宋" w:hAnsi="仿宋" w:cstheme="minorBidi"/>
          <w:smallCaps w:val="0"/>
          <w:sz w:val="28"/>
          <w:szCs w:val="28"/>
        </w:rPr>
      </w:pPr>
      <w:r>
        <w:fldChar w:fldCharType="begin"/>
      </w:r>
      <w:r>
        <w:instrText xml:space="preserve"> HYPERLINK \l "_Toc107308272" </w:instrText>
      </w:r>
      <w:r>
        <w:fldChar w:fldCharType="separate"/>
      </w:r>
      <w:r>
        <w:rPr>
          <w:rStyle w:val="37"/>
          <w:rFonts w:ascii="仿宋" w:hAnsi="仿宋"/>
          <w:sz w:val="28"/>
          <w:szCs w:val="28"/>
        </w:rPr>
        <w:t>（四）营造良好发展氛围</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_Toc107308272 \h </w:instrText>
      </w:r>
      <w:r>
        <w:rPr>
          <w:rFonts w:ascii="仿宋" w:hAnsi="仿宋"/>
          <w:sz w:val="28"/>
          <w:szCs w:val="28"/>
        </w:rPr>
        <w:fldChar w:fldCharType="separate"/>
      </w:r>
      <w:r>
        <w:rPr>
          <w:rFonts w:ascii="仿宋" w:hAnsi="仿宋"/>
          <w:sz w:val="28"/>
          <w:szCs w:val="28"/>
        </w:rPr>
        <w:t>31</w:t>
      </w:r>
      <w:r>
        <w:rPr>
          <w:rFonts w:ascii="仿宋" w:hAnsi="仿宋"/>
          <w:sz w:val="28"/>
          <w:szCs w:val="28"/>
        </w:rPr>
        <w:fldChar w:fldCharType="end"/>
      </w:r>
      <w:r>
        <w:rPr>
          <w:rFonts w:ascii="仿宋" w:hAnsi="仿宋"/>
          <w:sz w:val="28"/>
          <w:szCs w:val="28"/>
        </w:rPr>
        <w:fldChar w:fldCharType="end"/>
      </w:r>
    </w:p>
    <w:p>
      <w:pPr>
        <w:pStyle w:val="21"/>
        <w:tabs>
          <w:tab w:val="right" w:leader="dot" w:pos="8296"/>
        </w:tabs>
        <w:ind w:firstLine="562"/>
        <w:rPr>
          <w:rFonts w:ascii="仿宋" w:hAnsi="仿宋" w:cstheme="minorBidi"/>
          <w:b w:val="0"/>
          <w:bCs w:val="0"/>
          <w:caps w:val="0"/>
          <w:sz w:val="28"/>
          <w:szCs w:val="28"/>
        </w:rPr>
      </w:pPr>
      <w:r>
        <w:fldChar w:fldCharType="begin"/>
      </w:r>
      <w:r>
        <w:instrText xml:space="preserve"> HYPERLINK \l "_Toc107308273" </w:instrText>
      </w:r>
      <w:r>
        <w:fldChar w:fldCharType="separate"/>
      </w:r>
      <w:r>
        <w:rPr>
          <w:rStyle w:val="37"/>
          <w:rFonts w:ascii="仿宋" w:hAnsi="仿宋"/>
          <w:sz w:val="28"/>
          <w:szCs w:val="28"/>
        </w:rPr>
        <w:t>五、附件</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_Toc107308273 \h </w:instrText>
      </w:r>
      <w:r>
        <w:rPr>
          <w:rFonts w:ascii="仿宋" w:hAnsi="仿宋"/>
          <w:sz w:val="28"/>
          <w:szCs w:val="28"/>
        </w:rPr>
        <w:fldChar w:fldCharType="separate"/>
      </w:r>
      <w:r>
        <w:rPr>
          <w:rFonts w:ascii="仿宋" w:hAnsi="仿宋"/>
          <w:sz w:val="28"/>
          <w:szCs w:val="28"/>
        </w:rPr>
        <w:t>32</w:t>
      </w:r>
      <w:r>
        <w:rPr>
          <w:rFonts w:ascii="仿宋" w:hAnsi="仿宋"/>
          <w:sz w:val="28"/>
          <w:szCs w:val="28"/>
        </w:rPr>
        <w:fldChar w:fldCharType="end"/>
      </w:r>
      <w:r>
        <w:rPr>
          <w:rFonts w:ascii="仿宋" w:hAnsi="仿宋"/>
          <w:sz w:val="28"/>
          <w:szCs w:val="28"/>
        </w:rPr>
        <w:fldChar w:fldCharType="end"/>
      </w:r>
    </w:p>
    <w:p>
      <w:pPr>
        <w:pStyle w:val="26"/>
        <w:tabs>
          <w:tab w:val="right" w:leader="dot" w:pos="8296"/>
        </w:tabs>
        <w:ind w:firstLine="560"/>
        <w:rPr>
          <w:rFonts w:ascii="仿宋" w:hAnsi="仿宋" w:cstheme="minorBidi"/>
          <w:smallCaps w:val="0"/>
          <w:sz w:val="28"/>
          <w:szCs w:val="28"/>
        </w:rPr>
      </w:pPr>
      <w:r>
        <w:fldChar w:fldCharType="begin"/>
      </w:r>
      <w:r>
        <w:instrText xml:space="preserve"> HYPERLINK \l "_Toc107308274" </w:instrText>
      </w:r>
      <w:r>
        <w:fldChar w:fldCharType="separate"/>
      </w:r>
      <w:r>
        <w:rPr>
          <w:rStyle w:val="37"/>
          <w:rFonts w:ascii="仿宋" w:hAnsi="仿宋"/>
          <w:sz w:val="28"/>
          <w:szCs w:val="28"/>
        </w:rPr>
        <w:t>（一）特困人员供养服务设施（敬老院）建设和改造项目</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_Toc107308274 \h </w:instrText>
      </w:r>
      <w:r>
        <w:rPr>
          <w:rFonts w:ascii="仿宋" w:hAnsi="仿宋"/>
          <w:sz w:val="28"/>
          <w:szCs w:val="28"/>
        </w:rPr>
        <w:fldChar w:fldCharType="separate"/>
      </w:r>
      <w:r>
        <w:rPr>
          <w:rFonts w:ascii="仿宋" w:hAnsi="仿宋"/>
          <w:sz w:val="28"/>
          <w:szCs w:val="28"/>
        </w:rPr>
        <w:t>32</w:t>
      </w:r>
      <w:r>
        <w:rPr>
          <w:rFonts w:ascii="仿宋" w:hAnsi="仿宋"/>
          <w:sz w:val="28"/>
          <w:szCs w:val="28"/>
        </w:rPr>
        <w:fldChar w:fldCharType="end"/>
      </w:r>
      <w:r>
        <w:rPr>
          <w:rFonts w:ascii="仿宋" w:hAnsi="仿宋"/>
          <w:sz w:val="28"/>
          <w:szCs w:val="28"/>
        </w:rPr>
        <w:fldChar w:fldCharType="end"/>
      </w:r>
    </w:p>
    <w:p>
      <w:pPr>
        <w:pStyle w:val="26"/>
        <w:tabs>
          <w:tab w:val="right" w:leader="dot" w:pos="8296"/>
        </w:tabs>
        <w:ind w:firstLine="560"/>
        <w:rPr>
          <w:rFonts w:ascii="仿宋" w:hAnsi="仿宋" w:cstheme="minorBidi"/>
          <w:smallCaps w:val="0"/>
          <w:sz w:val="28"/>
          <w:szCs w:val="28"/>
        </w:rPr>
      </w:pPr>
      <w:r>
        <w:fldChar w:fldCharType="begin"/>
      </w:r>
      <w:r>
        <w:instrText xml:space="preserve"> HYPERLINK \l "_Toc107308275" </w:instrText>
      </w:r>
      <w:r>
        <w:fldChar w:fldCharType="separate"/>
      </w:r>
      <w:r>
        <w:rPr>
          <w:rStyle w:val="37"/>
          <w:rFonts w:ascii="仿宋" w:hAnsi="仿宋"/>
          <w:sz w:val="28"/>
          <w:szCs w:val="28"/>
        </w:rPr>
        <w:t>（二）其他养老机构建设项目</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_Toc107308275 \h </w:instrText>
      </w:r>
      <w:r>
        <w:rPr>
          <w:rFonts w:ascii="仿宋" w:hAnsi="仿宋"/>
          <w:sz w:val="28"/>
          <w:szCs w:val="28"/>
        </w:rPr>
        <w:fldChar w:fldCharType="separate"/>
      </w:r>
      <w:r>
        <w:rPr>
          <w:rFonts w:ascii="仿宋" w:hAnsi="仿宋"/>
          <w:sz w:val="28"/>
          <w:szCs w:val="28"/>
        </w:rPr>
        <w:t>33</w:t>
      </w:r>
      <w:r>
        <w:rPr>
          <w:rFonts w:ascii="仿宋" w:hAnsi="仿宋"/>
          <w:sz w:val="28"/>
          <w:szCs w:val="28"/>
        </w:rPr>
        <w:fldChar w:fldCharType="end"/>
      </w:r>
      <w:r>
        <w:rPr>
          <w:rFonts w:ascii="仿宋" w:hAnsi="仿宋"/>
          <w:sz w:val="28"/>
          <w:szCs w:val="28"/>
        </w:rPr>
        <w:fldChar w:fldCharType="end"/>
      </w:r>
    </w:p>
    <w:p>
      <w:pPr>
        <w:pStyle w:val="26"/>
        <w:tabs>
          <w:tab w:val="right" w:leader="dot" w:pos="8296"/>
        </w:tabs>
        <w:ind w:firstLine="560"/>
        <w:rPr>
          <w:rFonts w:ascii="仿宋" w:hAnsi="仿宋" w:cstheme="minorBidi"/>
          <w:smallCaps w:val="0"/>
          <w:sz w:val="28"/>
          <w:szCs w:val="28"/>
        </w:rPr>
      </w:pPr>
      <w:r>
        <w:fldChar w:fldCharType="begin"/>
      </w:r>
      <w:r>
        <w:instrText xml:space="preserve"> HYPERLINK \l "_Toc107308276" </w:instrText>
      </w:r>
      <w:r>
        <w:fldChar w:fldCharType="separate"/>
      </w:r>
      <w:r>
        <w:rPr>
          <w:rStyle w:val="37"/>
          <w:rFonts w:ascii="仿宋" w:hAnsi="仿宋"/>
          <w:sz w:val="28"/>
          <w:szCs w:val="28"/>
        </w:rPr>
        <w:t>（三）社区养老服务机构建设项目</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_Toc107308276 \h </w:instrText>
      </w:r>
      <w:r>
        <w:rPr>
          <w:rFonts w:ascii="仿宋" w:hAnsi="仿宋"/>
          <w:sz w:val="28"/>
          <w:szCs w:val="28"/>
        </w:rPr>
        <w:fldChar w:fldCharType="separate"/>
      </w:r>
      <w:r>
        <w:rPr>
          <w:rFonts w:ascii="仿宋" w:hAnsi="仿宋"/>
          <w:sz w:val="28"/>
          <w:szCs w:val="28"/>
        </w:rPr>
        <w:t>36</w:t>
      </w:r>
      <w:r>
        <w:rPr>
          <w:rFonts w:ascii="仿宋" w:hAnsi="仿宋"/>
          <w:sz w:val="28"/>
          <w:szCs w:val="28"/>
        </w:rPr>
        <w:fldChar w:fldCharType="end"/>
      </w:r>
      <w:r>
        <w:rPr>
          <w:rFonts w:ascii="仿宋" w:hAnsi="仿宋"/>
          <w:sz w:val="28"/>
          <w:szCs w:val="28"/>
        </w:rPr>
        <w:fldChar w:fldCharType="end"/>
      </w:r>
    </w:p>
    <w:p>
      <w:pPr>
        <w:pStyle w:val="26"/>
        <w:tabs>
          <w:tab w:val="right" w:leader="dot" w:pos="8296"/>
        </w:tabs>
        <w:ind w:firstLine="560"/>
        <w:rPr>
          <w:rFonts w:ascii="仿宋" w:hAnsi="仿宋" w:cstheme="minorBidi"/>
          <w:smallCaps w:val="0"/>
          <w:sz w:val="28"/>
          <w:szCs w:val="28"/>
        </w:rPr>
      </w:pPr>
      <w:r>
        <w:fldChar w:fldCharType="begin"/>
      </w:r>
      <w:r>
        <w:instrText xml:space="preserve"> HYPERLINK \l "_Toc107308277" </w:instrText>
      </w:r>
      <w:r>
        <w:fldChar w:fldCharType="separate"/>
      </w:r>
      <w:r>
        <w:rPr>
          <w:rStyle w:val="37"/>
          <w:rFonts w:ascii="仿宋" w:hAnsi="仿宋"/>
          <w:sz w:val="28"/>
          <w:szCs w:val="28"/>
        </w:rPr>
        <w:t>（四）康养小镇项目</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_Toc107308277 \h </w:instrText>
      </w:r>
      <w:r>
        <w:rPr>
          <w:rFonts w:ascii="仿宋" w:hAnsi="仿宋"/>
          <w:sz w:val="28"/>
          <w:szCs w:val="28"/>
        </w:rPr>
        <w:fldChar w:fldCharType="separate"/>
      </w:r>
      <w:r>
        <w:rPr>
          <w:rFonts w:ascii="仿宋" w:hAnsi="仿宋"/>
          <w:sz w:val="28"/>
          <w:szCs w:val="28"/>
        </w:rPr>
        <w:t>37</w:t>
      </w:r>
      <w:r>
        <w:rPr>
          <w:rFonts w:ascii="仿宋" w:hAnsi="仿宋"/>
          <w:sz w:val="28"/>
          <w:szCs w:val="28"/>
        </w:rPr>
        <w:fldChar w:fldCharType="end"/>
      </w:r>
      <w:r>
        <w:rPr>
          <w:rFonts w:ascii="仿宋" w:hAnsi="仿宋"/>
          <w:sz w:val="28"/>
          <w:szCs w:val="28"/>
        </w:rPr>
        <w:fldChar w:fldCharType="end"/>
      </w:r>
    </w:p>
    <w:p>
      <w:pPr>
        <w:pStyle w:val="26"/>
        <w:tabs>
          <w:tab w:val="right" w:leader="dot" w:pos="8296"/>
        </w:tabs>
        <w:ind w:firstLine="560"/>
        <w:rPr>
          <w:rFonts w:eastAsiaTheme="minorEastAsia" w:cstheme="minorBidi"/>
          <w:smallCaps w:val="0"/>
          <w:sz w:val="21"/>
          <w:szCs w:val="22"/>
        </w:rPr>
      </w:pPr>
      <w:r>
        <w:fldChar w:fldCharType="begin"/>
      </w:r>
      <w:r>
        <w:instrText xml:space="preserve"> HYPERLINK \l "_Toc107308278" </w:instrText>
      </w:r>
      <w:r>
        <w:fldChar w:fldCharType="separate"/>
      </w:r>
      <w:r>
        <w:rPr>
          <w:rStyle w:val="37"/>
          <w:rFonts w:ascii="仿宋" w:hAnsi="仿宋"/>
          <w:sz w:val="28"/>
          <w:szCs w:val="28"/>
        </w:rPr>
        <w:t>（五）康养基地项目</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_Toc107308278 \h </w:instrText>
      </w:r>
      <w:r>
        <w:rPr>
          <w:rFonts w:ascii="仿宋" w:hAnsi="仿宋"/>
          <w:sz w:val="28"/>
          <w:szCs w:val="28"/>
        </w:rPr>
        <w:fldChar w:fldCharType="separate"/>
      </w:r>
      <w:r>
        <w:rPr>
          <w:rFonts w:ascii="仿宋" w:hAnsi="仿宋"/>
          <w:sz w:val="28"/>
          <w:szCs w:val="28"/>
        </w:rPr>
        <w:t>39</w:t>
      </w:r>
      <w:r>
        <w:rPr>
          <w:rFonts w:ascii="仿宋" w:hAnsi="仿宋"/>
          <w:sz w:val="28"/>
          <w:szCs w:val="28"/>
        </w:rPr>
        <w:fldChar w:fldCharType="end"/>
      </w:r>
      <w:r>
        <w:rPr>
          <w:rFonts w:ascii="仿宋" w:hAnsi="仿宋"/>
          <w:sz w:val="28"/>
          <w:szCs w:val="28"/>
        </w:rPr>
        <w:fldChar w:fldCharType="end"/>
      </w:r>
    </w:p>
    <w:p>
      <w:pPr>
        <w:tabs>
          <w:tab w:val="left" w:pos="2424"/>
        </w:tabs>
        <w:ind w:firstLine="0" w:firstLineChars="0"/>
        <w:sectPr>
          <w:footerReference r:id="rId11" w:type="default"/>
          <w:pgSz w:w="11906" w:h="16838"/>
          <w:pgMar w:top="1440" w:right="1800" w:bottom="1440" w:left="1800" w:header="851" w:footer="0" w:gutter="0"/>
          <w:pgNumType w:fmt="upperRoman" w:start="1"/>
          <w:cols w:space="720" w:num="1"/>
          <w:docGrid w:type="lines" w:linePitch="312" w:charSpace="0"/>
        </w:sectPr>
      </w:pPr>
      <w:r>
        <w:rPr>
          <w:rFonts w:ascii="仿宋" w:hAnsi="仿宋"/>
          <w:sz w:val="24"/>
        </w:rPr>
        <w:fldChar w:fldCharType="end"/>
      </w:r>
      <w:r>
        <w:tab/>
      </w:r>
    </w:p>
    <w:p>
      <w:pPr>
        <w:ind w:firstLine="640"/>
      </w:pPr>
      <w:r>
        <w:rPr>
          <w:rFonts w:hint="eastAsia"/>
        </w:rPr>
        <w:t>为进一步推进我市养老服务体系建设，加快培育康养产业发展壮大，根据《中华人民共和国老年人权益保障法》《国家积极应对人口老龄化中长期规划》《关于加强新时代老龄工作的意见》《“十四五”国家老龄事业发展和养老服务体系规划》《河南省“十四五”养老服务体系和康养产业发展规划》《平顶山市国民经济和社会发展第十四个五年规划和二〇三五年远景目标纲要》等相关法律政策，结合我市实际，制定本规划。</w:t>
      </w:r>
    </w:p>
    <w:p>
      <w:pPr>
        <w:pStyle w:val="2"/>
      </w:pPr>
      <w:bookmarkStart w:id="1" w:name="_Toc107308215"/>
      <w:r>
        <w:rPr>
          <w:rFonts w:hint="eastAsia"/>
        </w:rPr>
        <w:t>一、规划背景</w:t>
      </w:r>
      <w:bookmarkEnd w:id="1"/>
    </w:p>
    <w:p>
      <w:pPr>
        <w:pStyle w:val="3"/>
        <w:ind w:firstLine="643"/>
      </w:pPr>
      <w:bookmarkStart w:id="2" w:name="_Toc107308216"/>
      <w:r>
        <w:t>（</w:t>
      </w:r>
      <w:r>
        <w:rPr>
          <w:rFonts w:hint="eastAsia"/>
        </w:rPr>
        <w:t>一</w:t>
      </w:r>
      <w:r>
        <w:t>）</w:t>
      </w:r>
      <w:r>
        <w:rPr>
          <w:rFonts w:hint="eastAsia"/>
        </w:rPr>
        <w:t>发展现状</w:t>
      </w:r>
      <w:bookmarkEnd w:id="2"/>
    </w:p>
    <w:p>
      <w:pPr>
        <w:ind w:firstLine="640"/>
      </w:pPr>
      <w:r>
        <w:rPr>
          <w:rFonts w:hint="eastAsia"/>
        </w:rPr>
        <w:t>“十三五”时期，我市高度重视养老服务体系建设，以居家为基础、社区为依托、机构为补充、医养相结合的养老服务体系初步建立。《平顶山市“十三五”养老服务体系建设规划》确定的目标任务基本完成。康养产业发展初见成效，初步构建了多点支撑、多元发力的康养产业发展格局。</w:t>
      </w:r>
      <w:bookmarkStart w:id="3" w:name="_Hlk92931445"/>
    </w:p>
    <w:p>
      <w:pPr>
        <w:pStyle w:val="4"/>
        <w:ind w:firstLine="643"/>
      </w:pPr>
      <w:bookmarkStart w:id="4" w:name="_Toc107308217"/>
      <w:r>
        <w:t>1.</w:t>
      </w:r>
      <w:r>
        <w:rPr>
          <w:rFonts w:hint="eastAsia"/>
        </w:rPr>
        <w:t>政策支持体系更加完善</w:t>
      </w:r>
      <w:bookmarkEnd w:id="4"/>
    </w:p>
    <w:p>
      <w:pPr>
        <w:ind w:firstLine="640"/>
      </w:pPr>
      <w:r>
        <w:rPr>
          <w:rFonts w:hint="eastAsia"/>
        </w:rPr>
        <w:t>顶层设计更加清晰。“十三五”期间，我市先后出台了养老服务体系、养老服务设施建设和健康养老产业发展3项规划。配套措施更加健全。我市陆续印发推进养老服务业发展、医养结合、设施建设和运营补贴等多项政策。汝州市率先出台了推进康养产业发展的专项政策。</w:t>
      </w:r>
    </w:p>
    <w:p>
      <w:pPr>
        <w:pStyle w:val="4"/>
        <w:ind w:firstLine="643"/>
      </w:pPr>
      <w:bookmarkStart w:id="5" w:name="_Toc107308218"/>
      <w:r>
        <w:rPr>
          <w:rFonts w:hint="eastAsia"/>
        </w:rPr>
        <w:t>2</w:t>
      </w:r>
      <w:r>
        <w:t>.</w:t>
      </w:r>
      <w:r>
        <w:rPr>
          <w:rFonts w:hint="eastAsia"/>
        </w:rPr>
        <w:t>养老服务体系逐步健全</w:t>
      </w:r>
      <w:bookmarkEnd w:id="5"/>
    </w:p>
    <w:p>
      <w:pPr>
        <w:ind w:firstLine="640"/>
      </w:pPr>
      <w:r>
        <w:rPr>
          <w:rFonts w:hint="eastAsia"/>
        </w:rPr>
        <w:t>养老服务设施不断完善。“十三五”期间，新增各类养老服务设施5</w:t>
      </w:r>
      <w:r>
        <w:t>4</w:t>
      </w:r>
      <w:r>
        <w:rPr>
          <w:rFonts w:hint="eastAsia"/>
        </w:rPr>
        <w:t>个，新增养老床位2</w:t>
      </w:r>
      <w:r>
        <w:t>500</w:t>
      </w:r>
      <w:r>
        <w:rPr>
          <w:rFonts w:hint="eastAsia"/>
        </w:rPr>
        <w:t>张。截至2</w:t>
      </w:r>
      <w:r>
        <w:t>020</w:t>
      </w:r>
      <w:r>
        <w:rPr>
          <w:rFonts w:hint="eastAsia"/>
        </w:rPr>
        <w:t>年底，全市各类养老服务设施</w:t>
      </w:r>
      <w:r>
        <w:t>381</w:t>
      </w:r>
      <w:r>
        <w:rPr>
          <w:rFonts w:hint="eastAsia"/>
        </w:rPr>
        <w:t>个，其中养老机构1</w:t>
      </w:r>
      <w:r>
        <w:t>04</w:t>
      </w:r>
      <w:r>
        <w:rPr>
          <w:rFonts w:hint="eastAsia"/>
        </w:rPr>
        <w:t>家，城镇社区养老服务设施</w:t>
      </w:r>
      <w:r>
        <w:t>87</w:t>
      </w:r>
      <w:r>
        <w:rPr>
          <w:rFonts w:hint="eastAsia"/>
        </w:rPr>
        <w:t>家，农村幸福院累计建成</w:t>
      </w:r>
      <w:r>
        <w:t>190</w:t>
      </w:r>
      <w:r>
        <w:rPr>
          <w:rFonts w:hint="eastAsia"/>
        </w:rPr>
        <w:t>家。社区养老服务设施覆盖率达到</w:t>
      </w:r>
      <w:r>
        <w:t>37.2</w:t>
      </w:r>
      <w:r>
        <w:rPr>
          <w:rFonts w:hint="eastAsia"/>
        </w:rPr>
        <w:t>%。全市养老机构床位总数达</w:t>
      </w:r>
      <w:r>
        <w:t>7863</w:t>
      </w:r>
      <w:r>
        <w:rPr>
          <w:rFonts w:hint="eastAsia"/>
        </w:rPr>
        <w:t>张，其中护理型床位占比4</w:t>
      </w:r>
      <w:r>
        <w:t>7</w:t>
      </w:r>
      <w:r>
        <w:rPr>
          <w:rFonts w:hint="eastAsia"/>
        </w:rPr>
        <w:t>%，每千名老年人拥有养老床位1</w:t>
      </w:r>
      <w:r>
        <w:t>5</w:t>
      </w:r>
      <w:r>
        <w:rPr>
          <w:rFonts w:hint="eastAsia"/>
        </w:rPr>
        <w:t>张。</w:t>
      </w:r>
      <w:bookmarkStart w:id="6" w:name="_Hlk93007134"/>
    </w:p>
    <w:p>
      <w:pPr>
        <w:ind w:firstLine="640"/>
      </w:pPr>
      <w:r>
        <w:rPr>
          <w:rFonts w:hint="eastAsia"/>
        </w:rPr>
        <w:t>养老服务水平不断提升。“十三五”期间，我市持续实施养老院服务质量建设和养老机构消防安全专项行动。新华区、卫东区、湛河区成为省级城镇社区养老服务体系建设工作联系点。</w:t>
      </w:r>
      <w:bookmarkEnd w:id="6"/>
      <w:r>
        <w:rPr>
          <w:rFonts w:hint="eastAsia"/>
          <w:color w:val="000000"/>
          <w:shd w:val="clear" w:color="auto" w:fill="FFFFFF"/>
        </w:rPr>
        <w:t>2</w:t>
      </w:r>
      <w:r>
        <w:rPr>
          <w:color w:val="000000"/>
          <w:shd w:val="clear" w:color="auto" w:fill="FFFFFF"/>
        </w:rPr>
        <w:t>020</w:t>
      </w:r>
      <w:r>
        <w:rPr>
          <w:rFonts w:hint="eastAsia"/>
          <w:color w:val="000000"/>
          <w:shd w:val="clear" w:color="auto" w:fill="FFFFFF"/>
        </w:rPr>
        <w:t>年，我市入选河南智慧养老服务平台建设第二批试点，建成了</w:t>
      </w:r>
      <w:r>
        <w:rPr>
          <w:rFonts w:hint="eastAsia"/>
        </w:rPr>
        <w:t>平顶山市</w:t>
      </w:r>
      <w:r>
        <w:rPr>
          <w:rFonts w:hint="eastAsia"/>
          <w:color w:val="000000"/>
          <w:shd w:val="clear" w:color="auto" w:fill="FFFFFF"/>
        </w:rPr>
        <w:t>智慧养老服务平台等信息化平台。</w:t>
      </w:r>
      <w:r>
        <w:rPr>
          <w:rFonts w:hint="eastAsia"/>
        </w:rPr>
        <w:t>5个社区分别被命名为全国示范性老年友好型社区和河南省老年友好型社区。在人才方面，我市培训养老院院长、养老护理员和老年社会工作者</w:t>
      </w:r>
      <w:r>
        <w:t>2511</w:t>
      </w:r>
      <w:r>
        <w:rPr>
          <w:rFonts w:hint="eastAsia"/>
        </w:rPr>
        <w:t>人次。</w:t>
      </w:r>
    </w:p>
    <w:p>
      <w:pPr>
        <w:ind w:firstLine="640"/>
      </w:pPr>
      <w:r>
        <w:rPr>
          <w:rFonts w:hint="eastAsia"/>
        </w:rPr>
        <w:t>养老事业与养老产业协同发展。我市全面放开养老服务市场，推进养老服务领域“放管服”改革。全面落实养老服务机构等级备案制度。全面支持社会力量投资养老服务，引进和培育了多家专业化、连锁化养老企业。</w:t>
      </w:r>
    </w:p>
    <w:p>
      <w:pPr>
        <w:pStyle w:val="4"/>
        <w:ind w:firstLine="643"/>
      </w:pPr>
      <w:bookmarkStart w:id="7" w:name="_Toc107308219"/>
      <w:r>
        <w:rPr>
          <w:rFonts w:hint="eastAsia"/>
        </w:rPr>
        <w:t>3</w:t>
      </w:r>
      <w:r>
        <w:t>.</w:t>
      </w:r>
      <w:r>
        <w:rPr>
          <w:rFonts w:hint="eastAsia"/>
        </w:rPr>
        <w:t>康养产业发展初具规模</w:t>
      </w:r>
      <w:bookmarkEnd w:id="7"/>
    </w:p>
    <w:p>
      <w:pPr>
        <w:ind w:firstLine="643"/>
      </w:pPr>
      <w:r>
        <w:rPr>
          <w:rFonts w:hint="eastAsia"/>
          <w:b/>
          <w:bCs/>
        </w:rPr>
        <w:t>老年健康服务体系初步建立</w:t>
      </w:r>
      <w:r>
        <w:rPr>
          <w:rFonts w:hint="eastAsia"/>
        </w:rPr>
        <w:t>。截至2</w:t>
      </w:r>
      <w:r>
        <w:t>021</w:t>
      </w:r>
      <w:r>
        <w:rPr>
          <w:rFonts w:hint="eastAsia"/>
        </w:rPr>
        <w:t>年底，全市老年病医院2家、安宁疗护中心1</w:t>
      </w:r>
      <w:r>
        <w:t>1</w:t>
      </w:r>
      <w:r>
        <w:rPr>
          <w:rFonts w:hint="eastAsia"/>
        </w:rPr>
        <w:t>家，二级以上综合医院开设老年医学科比例达到</w:t>
      </w:r>
      <w:r>
        <w:t>52</w:t>
      </w:r>
      <w:r>
        <w:rPr>
          <w:rFonts w:hint="eastAsia"/>
        </w:rPr>
        <w:t>%，三级中医院设置康复科比例达到100%，二级以上医疗机构普遍为老年人开通了就诊绿色通道。9家二级及以上医疗卫生机构创建成为河南省老年友善医疗机构。医养结合机构</w:t>
      </w:r>
      <w:r>
        <w:t>16</w:t>
      </w:r>
      <w:r>
        <w:rPr>
          <w:rFonts w:hint="eastAsia"/>
        </w:rPr>
        <w:t>家，机构床位总数</w:t>
      </w:r>
      <w:r>
        <w:t>4955</w:t>
      </w:r>
      <w:r>
        <w:rPr>
          <w:rFonts w:hint="eastAsia"/>
        </w:rPr>
        <w:t>张，机构服务人员总数</w:t>
      </w:r>
      <w:r>
        <w:t>1233</w:t>
      </w:r>
      <w:r>
        <w:rPr>
          <w:rFonts w:hint="eastAsia"/>
        </w:rPr>
        <w:t>人。</w:t>
      </w:r>
      <w:r>
        <w:t>5</w:t>
      </w:r>
      <w:r>
        <w:rPr>
          <w:rFonts w:hint="eastAsia"/>
        </w:rPr>
        <w:t>家医养结合机构建设项目被确定为2021年度河南省医养结合示范项目。</w:t>
      </w:r>
    </w:p>
    <w:p>
      <w:pPr>
        <w:ind w:firstLine="643"/>
      </w:pPr>
      <w:r>
        <w:rPr>
          <w:rFonts w:hint="eastAsia"/>
          <w:b/>
          <w:bCs/>
        </w:rPr>
        <w:t>健康养生服务产业快速发展。</w:t>
      </w:r>
      <w:r>
        <w:rPr>
          <w:rFonts w:hint="eastAsia"/>
        </w:rPr>
        <w:t>我市坚持把文旅康养产业作为战略性支柱产业来培育。“十三五”期间，依托得天独厚的森林、温泉和中医药等资源禀赋，谋划了一批康养小镇、康养社区、康养基地，为“十四五”时期持续发展奠定了坚实基础。截至2</w:t>
      </w:r>
      <w:r>
        <w:t>020</w:t>
      </w:r>
      <w:r>
        <w:rPr>
          <w:rFonts w:hint="eastAsia"/>
        </w:rPr>
        <w:t>年底，全市共有森林康养基地4家，其中国家级森林康养基地建设试点市1家、全国森林康养基地建设试点乡镇1家、省级森林康养基地2家。</w:t>
      </w:r>
      <w:bookmarkEnd w:id="3"/>
    </w:p>
    <w:p>
      <w:pPr>
        <w:pStyle w:val="4"/>
        <w:ind w:firstLine="643"/>
      </w:pPr>
      <w:bookmarkStart w:id="8" w:name="_Toc107308220"/>
      <w:r>
        <w:t>4.</w:t>
      </w:r>
      <w:r>
        <w:rPr>
          <w:rFonts w:hint="eastAsia"/>
        </w:rPr>
        <w:t>人口老龄化将不断加深</w:t>
      </w:r>
      <w:bookmarkEnd w:id="8"/>
    </w:p>
    <w:p>
      <w:pPr>
        <w:ind w:firstLine="640"/>
      </w:pPr>
      <w:r>
        <w:rPr>
          <w:rFonts w:hint="eastAsia"/>
        </w:rPr>
        <w:t>根据《第七次全国人口普查公报》显示，截至2020年11月1日零时，全市常住人口中，60岁及以上人口为912424人，占比18.30%，高于全省平均水平（18.08%），居全省第13位。预计到2025年，全市60岁及以上常住老年人口将达到95万人，老龄化率将超过20%。</w:t>
      </w:r>
    </w:p>
    <w:p>
      <w:pPr>
        <w:pStyle w:val="3"/>
        <w:ind w:firstLine="643"/>
      </w:pPr>
      <w:bookmarkStart w:id="9" w:name="_Toc107308221"/>
      <w:r>
        <w:t>（二）机遇挑战</w:t>
      </w:r>
      <w:bookmarkEnd w:id="9"/>
    </w:p>
    <w:p>
      <w:pPr>
        <w:pStyle w:val="4"/>
        <w:ind w:firstLine="643"/>
      </w:pPr>
      <w:bookmarkStart w:id="10" w:name="_Toc107308222"/>
      <w:r>
        <w:rPr>
          <w:rFonts w:hint="eastAsia"/>
        </w:rPr>
        <w:t>1</w:t>
      </w:r>
      <w:r>
        <w:t>.</w:t>
      </w:r>
      <w:r>
        <w:rPr>
          <w:rFonts w:hint="eastAsia"/>
        </w:rPr>
        <w:t>党委政府高度重视</w:t>
      </w:r>
      <w:bookmarkEnd w:id="10"/>
    </w:p>
    <w:p>
      <w:pPr>
        <w:ind w:firstLine="640"/>
        <w:rPr>
          <w:lang w:val="zh-TW"/>
        </w:rPr>
      </w:pPr>
      <w:r>
        <w:rPr>
          <w:rFonts w:hint="eastAsia"/>
        </w:rPr>
        <w:t>以习近平同志为核心的党中央总揽全局，全面推进健康中国建设，实施积极应对人口老龄化国家战略。</w:t>
      </w:r>
      <w:r>
        <w:rPr>
          <w:rFonts w:hint="eastAsia"/>
          <w:shd w:val="clear" w:color="auto" w:fill="FFFFFF"/>
          <w:lang w:val="zh-TW"/>
        </w:rPr>
        <w:t>河南省委、省政府高度重视健康中原的战略布局，将繁荣健康产业列为推进健康中原建设的主要战略任务之一。</w:t>
      </w:r>
      <w:r>
        <w:rPr>
          <w:rFonts w:hint="eastAsia"/>
          <w:lang w:val="zh-TW"/>
        </w:rPr>
        <w:t>我市明确提出着力建设文旅康养城和绿色食品城，</w:t>
      </w:r>
      <w:r>
        <w:rPr>
          <w:rFonts w:hint="eastAsia"/>
        </w:rPr>
        <w:t>并将健康养老纳入全市四大服务业主导产业，为养老服务体系和康养产业发展提供了良好的发展环境。</w:t>
      </w:r>
    </w:p>
    <w:p>
      <w:pPr>
        <w:pStyle w:val="4"/>
        <w:ind w:firstLine="643"/>
        <w:rPr>
          <w:rFonts w:eastAsia="PMingLiU"/>
          <w:lang w:val="zh-TW" w:eastAsia="zh-TW"/>
        </w:rPr>
      </w:pPr>
      <w:bookmarkStart w:id="11" w:name="_Toc107308223"/>
      <w:r>
        <w:rPr>
          <w:rFonts w:hint="eastAsia"/>
          <w:lang w:val="zh-TW"/>
        </w:rPr>
        <w:t>2</w:t>
      </w:r>
      <w:r>
        <w:rPr>
          <w:rFonts w:eastAsia="PMingLiU"/>
          <w:lang w:val="zh-TW" w:eastAsia="zh-TW"/>
        </w:rPr>
        <w:t>.</w:t>
      </w:r>
      <w:r>
        <w:rPr>
          <w:rFonts w:hint="eastAsia"/>
          <w:lang w:val="zh-TW" w:eastAsia="zh-TW"/>
        </w:rPr>
        <w:t>特色资源得天独厚</w:t>
      </w:r>
      <w:bookmarkEnd w:id="11"/>
    </w:p>
    <w:p>
      <w:pPr>
        <w:ind w:firstLine="640"/>
        <w:rPr>
          <w:shd w:val="clear" w:color="auto" w:fill="FFFFFF"/>
          <w:lang w:val="zh-TW"/>
        </w:rPr>
      </w:pPr>
      <w:bookmarkStart w:id="12" w:name="_Hlk102005137"/>
      <w:r>
        <w:rPr>
          <w:rFonts w:hint="eastAsia"/>
        </w:rPr>
        <w:t>一是森林、温泉等资源丰富。全市省级森林城市达到5家、数量居全省第一。温泉资源独具特色，</w:t>
      </w:r>
      <w:r>
        <w:rPr>
          <w:rFonts w:hint="eastAsia"/>
          <w:color w:val="000000"/>
          <w:shd w:val="clear" w:color="auto" w:fill="FFFFFF"/>
        </w:rPr>
        <w:t>是河南省温泉资源最丰富的地区。</w:t>
      </w:r>
      <w:r>
        <w:rPr>
          <w:rFonts w:hint="eastAsia"/>
          <w:shd w:val="clear" w:color="auto" w:fill="FFFFFF"/>
          <w:lang w:val="zh-TW"/>
        </w:rPr>
        <w:t>二是文旅资源丰富。我市悠久的历史，造就了佛教、曲艺、陶瓷、温泉、三苏等九大独特的文化现象。全市有旅游资源单体4200多个，23家A级景区。三是矿藏钠盐资源丰富。各类矿藏57种。钠盐储量3300亿吨，是中国岩盐之都。</w:t>
      </w:r>
    </w:p>
    <w:bookmarkEnd w:id="12"/>
    <w:p>
      <w:pPr>
        <w:pStyle w:val="4"/>
        <w:ind w:firstLine="643"/>
        <w:rPr>
          <w:shd w:val="clear" w:color="auto" w:fill="FFFFFF"/>
          <w:lang w:val="zh-TW"/>
        </w:rPr>
      </w:pPr>
      <w:bookmarkStart w:id="13" w:name="_Toc107308224"/>
      <w:r>
        <w:rPr>
          <w:rFonts w:hint="eastAsia"/>
          <w:shd w:val="clear" w:color="auto" w:fill="FFFFFF"/>
          <w:lang w:val="zh-TW"/>
        </w:rPr>
        <w:t>3</w:t>
      </w:r>
      <w:r>
        <w:rPr>
          <w:rFonts w:eastAsia="PMingLiU"/>
          <w:shd w:val="clear" w:color="auto" w:fill="FFFFFF"/>
          <w:lang w:val="zh-TW" w:eastAsia="zh-TW"/>
        </w:rPr>
        <w:t>.</w:t>
      </w:r>
      <w:r>
        <w:rPr>
          <w:rFonts w:hint="eastAsia"/>
          <w:shd w:val="clear" w:color="auto" w:fill="FFFFFF"/>
          <w:lang w:val="zh-TW"/>
        </w:rPr>
        <w:t>经济形势稳中向好</w:t>
      </w:r>
      <w:bookmarkEnd w:id="13"/>
    </w:p>
    <w:p>
      <w:pPr>
        <w:ind w:firstLine="640"/>
        <w:rPr>
          <w:lang w:val="zh-TW" w:eastAsia="zh-TW"/>
        </w:rPr>
      </w:pPr>
      <w:r>
        <w:rPr>
          <w:rFonts w:hint="eastAsia"/>
          <w:lang w:val="zh-TW" w:eastAsia="zh-TW"/>
        </w:rPr>
        <w:t>2020年，全市经济总量稳步扩张，居民收入稳步增长。全市生产总值2455.84亿元，比上年增长3.2%，是“十二五”末的1.8倍。一般公共预算收入181.2亿元，一般公共预算收入、生产总值、规模以上工业增加值等指标增速分别居河南省第3、第4、第5位。同时，现代农业、文化旅游业和医药产业等康养相关产业发展基础良好。</w:t>
      </w:r>
    </w:p>
    <w:p>
      <w:pPr>
        <w:pStyle w:val="4"/>
        <w:ind w:firstLine="643"/>
        <w:rPr>
          <w:rFonts w:eastAsia="PMingLiU"/>
          <w:shd w:val="clear" w:color="auto" w:fill="FFFFFF"/>
          <w:lang w:val="zh-TW" w:eastAsia="zh-TW"/>
        </w:rPr>
      </w:pPr>
      <w:bookmarkStart w:id="14" w:name="_Toc107308225"/>
      <w:r>
        <w:rPr>
          <w:rFonts w:hint="eastAsia"/>
          <w:shd w:val="clear" w:color="auto" w:fill="FFFFFF"/>
          <w:lang w:val="zh-TW"/>
        </w:rPr>
        <w:t>4</w:t>
      </w:r>
      <w:r>
        <w:rPr>
          <w:shd w:val="clear" w:color="auto" w:fill="FFFFFF"/>
          <w:lang w:val="zh-TW" w:eastAsia="zh-TW"/>
        </w:rPr>
        <w:t>.</w:t>
      </w:r>
      <w:r>
        <w:rPr>
          <w:rFonts w:hint="eastAsia"/>
          <w:shd w:val="clear" w:color="auto" w:fill="FFFFFF"/>
          <w:lang w:val="zh-TW" w:eastAsia="zh-TW"/>
        </w:rPr>
        <w:t>交通设施优势明显</w:t>
      </w:r>
      <w:bookmarkEnd w:id="14"/>
    </w:p>
    <w:p>
      <w:pPr>
        <w:ind w:firstLine="640"/>
        <w:rPr>
          <w:lang w:val="zh-TW" w:eastAsia="zh-TW"/>
        </w:rPr>
      </w:pPr>
      <w:r>
        <w:rPr>
          <w:rFonts w:hint="eastAsia"/>
          <w:lang w:val="zh-TW" w:eastAsia="zh-TW"/>
        </w:rPr>
        <w:t>我市地处京广和焦枝两大铁路干线之间，境内铁路总长400公里。距新郑国际机场100公里。兰南、宁洛、二广、郑尧4条高速公路穿境而过，通车里程达480公里，居全省第5位；普通干线公路通车里程达1575公里，居全省第9位；农村公路通车里程达12579公里，全市所有行政村及20户以上自然村通硬化路，居全省第6位；公交站点500米覆盖率100%、公交出行分担率21.3%，位居全省第一方阵，有力支撑了社会经济发展。</w:t>
      </w:r>
    </w:p>
    <w:p>
      <w:pPr>
        <w:ind w:firstLine="640"/>
      </w:pPr>
      <w:r>
        <w:rPr>
          <w:rFonts w:hint="eastAsia"/>
        </w:rPr>
        <w:t>同时，我市养老服务体系和康养产业发展也面临一些挑战。一是优质养老服务有效供给不足，养老服务“三级中心”建后运营效益尚未完全发挥；二是康养产业认知不一致、开发同质化、配套待优化；三是养老服务体系和康养产业发展要素保障存在专业人才不足等短板。</w:t>
      </w:r>
    </w:p>
    <w:p>
      <w:pPr>
        <w:pStyle w:val="2"/>
      </w:pPr>
      <w:bookmarkStart w:id="15" w:name="_Toc107308226"/>
      <w:r>
        <w:rPr>
          <w:rFonts w:hint="eastAsia"/>
        </w:rPr>
        <w:t>二、总体要求</w:t>
      </w:r>
      <w:bookmarkEnd w:id="15"/>
    </w:p>
    <w:p>
      <w:pPr>
        <w:pStyle w:val="3"/>
        <w:ind w:firstLine="643"/>
      </w:pPr>
      <w:bookmarkStart w:id="16" w:name="_Toc107308227"/>
      <w:r>
        <w:t>（</w:t>
      </w:r>
      <w:r>
        <w:rPr>
          <w:rFonts w:hint="eastAsia"/>
        </w:rPr>
        <w:t>一</w:t>
      </w:r>
      <w:r>
        <w:t>）指导思想</w:t>
      </w:r>
      <w:bookmarkEnd w:id="16"/>
    </w:p>
    <w:p>
      <w:pPr>
        <w:ind w:firstLine="640"/>
        <w:rPr>
          <w:rFonts w:hint="eastAsia" w:ascii="仿宋_GB2312" w:hAnsi="仿宋_GB2312"/>
        </w:rPr>
      </w:pPr>
      <w:r>
        <w:rPr>
          <w:rFonts w:hint="eastAsia" w:ascii="Cambria Math" w:hAnsi="Cambria Math" w:cs="Cambria Math"/>
          <w:szCs w:val="30"/>
        </w:rPr>
        <w:t>以习近平新时代中国特色社会主义思想为指导，</w:t>
      </w:r>
      <w:r>
        <w:rPr>
          <w:rFonts w:hint="eastAsia" w:ascii="仿宋_GB2312" w:hAnsi="仿宋_GB2312"/>
        </w:rPr>
        <w:t>深入贯彻党的十九大和十九届历次全会精神，把握新发展阶段，贯彻新发展理念，融入新发展格局，积极贯彻落实应对人口老龄化国家战略和健康中国战略，抓住重要窗口机遇期，以推动高质量发展为主题，以实施“一七八”行动计划（一个品牌、七大任务和八大工程）为整体工作布局，全面建立居家社区机构相协调、医养康养相结合的养老服务体系，推动康养产业成为全市经济发展新动能，满足人民日益增长的美好生活需求，为建设新阶段现代化幸福鹰城贡献力量。</w:t>
      </w:r>
    </w:p>
    <w:p>
      <w:pPr>
        <w:pStyle w:val="3"/>
        <w:ind w:firstLine="643"/>
      </w:pPr>
      <w:bookmarkStart w:id="17" w:name="_Toc107308228"/>
      <w:r>
        <w:rPr>
          <w:rFonts w:hint="eastAsia"/>
        </w:rPr>
        <w:t>（二）</w:t>
      </w:r>
      <w:r>
        <w:t>基本原则</w:t>
      </w:r>
      <w:bookmarkEnd w:id="17"/>
    </w:p>
    <w:p>
      <w:pPr>
        <w:ind w:firstLine="643"/>
      </w:pPr>
      <w:r>
        <w:rPr>
          <w:rFonts w:hint="eastAsia"/>
          <w:b/>
          <w:bCs/>
        </w:rPr>
        <w:t>党委领导，各方参与。</w:t>
      </w:r>
      <w:r>
        <w:rPr>
          <w:rFonts w:hint="eastAsia"/>
        </w:rPr>
        <w:t>充分发挥各级党委总揽全局、协调各方的领导作用，汇聚养老服务和康业产业各方参与合力，形成政府、市场、社会、家庭共建共享的新发展格局，促进养老服务体系和康养产业良性发展。</w:t>
      </w:r>
    </w:p>
    <w:p>
      <w:pPr>
        <w:ind w:firstLine="643"/>
      </w:pPr>
      <w:r>
        <w:rPr>
          <w:rFonts w:hint="eastAsia"/>
          <w:b/>
          <w:bCs/>
        </w:rPr>
        <w:t>突出特色，创新发展。</w:t>
      </w:r>
      <w:r>
        <w:rPr>
          <w:rFonts w:hint="eastAsia"/>
        </w:rPr>
        <w:t>依托我市独特的生态资源和中医药资源优势，打造具有平顶山特色的养老服务和康养产业模式。避免同质化，丰富多样性，力争“一县一特”“一地多品”。</w:t>
      </w:r>
    </w:p>
    <w:p>
      <w:pPr>
        <w:ind w:firstLine="643"/>
      </w:pPr>
      <w:r>
        <w:rPr>
          <w:rFonts w:hint="eastAsia"/>
          <w:b/>
          <w:bCs/>
        </w:rPr>
        <w:t>政策支持，项目引领。</w:t>
      </w:r>
      <w:r>
        <w:rPr>
          <w:rFonts w:hint="eastAsia"/>
        </w:rPr>
        <w:t>用好、用活、用足、用实各项发展政策，充分释放政策红利。把重点项目建设作为推动全市养老服务体系和康养产业发展的基础引擎。建立项目动态调整机制。</w:t>
      </w:r>
    </w:p>
    <w:p>
      <w:pPr>
        <w:ind w:firstLine="643"/>
        <w:rPr>
          <w:b/>
          <w:bCs/>
        </w:rPr>
      </w:pPr>
      <w:r>
        <w:rPr>
          <w:rFonts w:hint="eastAsia"/>
          <w:b/>
          <w:bCs/>
        </w:rPr>
        <w:t>部门协同，多规衔接</w:t>
      </w:r>
      <w:r>
        <w:rPr>
          <w:rFonts w:hint="eastAsia"/>
        </w:rPr>
        <w:t>。建立多部门协同机制，明确关于养老服务和康养设施布局的相关政策、标准和口径，确保本规划与国民经济和社会发展规划、各层次国土空间规划衔接。</w:t>
      </w:r>
    </w:p>
    <w:p>
      <w:pPr>
        <w:pStyle w:val="3"/>
        <w:ind w:firstLine="643"/>
      </w:pPr>
      <w:bookmarkStart w:id="18" w:name="_Toc107308229"/>
      <w:r>
        <w:t>（三）</w:t>
      </w:r>
      <w:r>
        <w:rPr>
          <w:rFonts w:hint="eastAsia"/>
        </w:rPr>
        <w:t>总体</w:t>
      </w:r>
      <w:r>
        <w:t>目标</w:t>
      </w:r>
      <w:bookmarkEnd w:id="18"/>
    </w:p>
    <w:p>
      <w:pPr>
        <w:ind w:firstLine="640"/>
      </w:pPr>
      <w:r>
        <w:rPr>
          <w:rFonts w:hint="eastAsia"/>
        </w:rPr>
        <w:t>到2025年，我市居家社区机构相协调、医养康养相结合的养老服务体系基本建立；覆盖城乡、功能完善、结构合理、供给多元、服务优质、监管到位、方便可及的养老服务新格局更加完善；养老事业和产业有效协同、高质量发展，老年人及其家属获得感、幸福感、安全感显著提升。康养产业体系基本完善，产品供给更加丰富，配套设施更加完善，服务能力明显提升，产业带动效应明显，打响“颐养鹰城·长寿之城”康养品牌。</w:t>
      </w:r>
    </w:p>
    <w:p>
      <w:pPr>
        <w:ind w:firstLine="640"/>
      </w:pPr>
    </w:p>
    <w:p>
      <w:pPr>
        <w:ind w:firstLine="640"/>
      </w:pPr>
    </w:p>
    <w:p>
      <w:pPr>
        <w:ind w:firstLine="640"/>
      </w:pPr>
    </w:p>
    <w:p>
      <w:pPr>
        <w:ind w:firstLine="640"/>
      </w:pPr>
    </w:p>
    <w:p>
      <w:pPr>
        <w:ind w:firstLine="199" w:firstLineChars="62"/>
        <w:jc w:val="center"/>
        <w:rPr>
          <w:rFonts w:ascii="仿宋" w:hAnsi="仿宋"/>
          <w:b/>
        </w:rPr>
      </w:pPr>
      <w:r>
        <w:rPr>
          <w:rFonts w:hint="eastAsia" w:ascii="仿宋" w:hAnsi="仿宋"/>
          <w:b/>
        </w:rPr>
        <w:t>表1主要指标</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60"/>
        <w:gridCol w:w="3202"/>
        <w:gridCol w:w="432"/>
        <w:gridCol w:w="892"/>
        <w:gridCol w:w="707"/>
        <w:gridCol w:w="706"/>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49" w:type="dxa"/>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22"/>
                <w:szCs w:val="22"/>
              </w:rPr>
            </w:pPr>
            <w:bookmarkStart w:id="88" w:name="_GoBack"/>
            <w:r>
              <w:rPr>
                <w:rFonts w:hint="eastAsia" w:ascii="宋体" w:hAnsi="宋体" w:eastAsia="宋体" w:cs="宋体"/>
                <w:b/>
                <w:bCs/>
                <w:color w:val="000000"/>
                <w:kern w:val="0"/>
                <w:sz w:val="22"/>
                <w:szCs w:val="22"/>
              </w:rPr>
              <w:t>序号</w:t>
            </w:r>
          </w:p>
        </w:tc>
        <w:tc>
          <w:tcPr>
            <w:tcW w:w="760" w:type="dxa"/>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类别</w:t>
            </w:r>
          </w:p>
        </w:tc>
        <w:tc>
          <w:tcPr>
            <w:tcW w:w="3202" w:type="dxa"/>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指标名称</w:t>
            </w:r>
          </w:p>
        </w:tc>
        <w:tc>
          <w:tcPr>
            <w:tcW w:w="432" w:type="dxa"/>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单位</w:t>
            </w:r>
          </w:p>
        </w:tc>
        <w:tc>
          <w:tcPr>
            <w:tcW w:w="892" w:type="dxa"/>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十三五目标</w:t>
            </w:r>
          </w:p>
        </w:tc>
        <w:tc>
          <w:tcPr>
            <w:tcW w:w="707" w:type="dxa"/>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2020</w:t>
            </w:r>
          </w:p>
        </w:tc>
        <w:tc>
          <w:tcPr>
            <w:tcW w:w="706" w:type="dxa"/>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2025</w:t>
            </w:r>
          </w:p>
        </w:tc>
        <w:tc>
          <w:tcPr>
            <w:tcW w:w="928" w:type="dxa"/>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49"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60"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养老服务</w:t>
            </w:r>
          </w:p>
        </w:tc>
        <w:tc>
          <w:tcPr>
            <w:tcW w:w="3202" w:type="dxa"/>
            <w:shd w:val="clear" w:color="auto" w:fill="auto"/>
            <w:noWrap/>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每千名老年人拥有养老床位不低于</w:t>
            </w:r>
          </w:p>
        </w:tc>
        <w:tc>
          <w:tcPr>
            <w:tcW w:w="43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w:t>
            </w:r>
          </w:p>
        </w:tc>
        <w:tc>
          <w:tcPr>
            <w:tcW w:w="89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707" w:type="dxa"/>
            <w:shd w:val="clear" w:color="auto" w:fill="auto"/>
            <w:noWrap/>
            <w:vAlign w:val="center"/>
          </w:tcPr>
          <w:p>
            <w:pPr>
              <w:widowControl/>
              <w:spacing w:line="240" w:lineRule="auto"/>
              <w:ind w:firstLine="0" w:firstLineChars="0"/>
              <w:jc w:val="center"/>
              <w:rPr>
                <w:rFonts w:eastAsiaTheme="minorEastAsia"/>
                <w:kern w:val="0"/>
                <w:sz w:val="20"/>
                <w:szCs w:val="20"/>
              </w:rPr>
            </w:pPr>
            <w:r>
              <w:rPr>
                <w:rFonts w:hint="eastAsia" w:ascii="宋体" w:hAnsi="宋体" w:eastAsia="宋体" w:cs="宋体"/>
                <w:color w:val="000000"/>
                <w:kern w:val="0"/>
                <w:sz w:val="22"/>
                <w:szCs w:val="22"/>
              </w:rPr>
              <w:t>15</w:t>
            </w:r>
          </w:p>
        </w:tc>
        <w:tc>
          <w:tcPr>
            <w:tcW w:w="706"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35</w:t>
            </w:r>
          </w:p>
        </w:tc>
        <w:tc>
          <w:tcPr>
            <w:tcW w:w="92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49"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760"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养老服务</w:t>
            </w:r>
          </w:p>
        </w:tc>
        <w:tc>
          <w:tcPr>
            <w:tcW w:w="3202" w:type="dxa"/>
            <w:shd w:val="clear" w:color="auto" w:fill="auto"/>
            <w:noWrap/>
            <w:vAlign w:val="center"/>
          </w:tcPr>
          <w:p>
            <w:pPr>
              <w:widowControl/>
              <w:spacing w:line="240" w:lineRule="auto"/>
              <w:ind w:firstLine="0" w:firstLineChars="0"/>
              <w:jc w:val="left"/>
              <w:rPr>
                <w:rFonts w:ascii="宋体" w:hAnsi="宋体" w:eastAsia="宋体" w:cs="宋体"/>
                <w:color w:val="000000"/>
                <w:kern w:val="0"/>
                <w:sz w:val="22"/>
                <w:szCs w:val="22"/>
              </w:rPr>
            </w:pPr>
            <w:r>
              <w:rPr>
                <w:rFonts w:ascii="宋体" w:hAnsi="宋体" w:eastAsia="宋体" w:cs="宋体"/>
                <w:color w:val="000000"/>
                <w:kern w:val="0"/>
                <w:sz w:val="22"/>
                <w:szCs w:val="22"/>
              </w:rPr>
              <w:t>养老机构</w:t>
            </w:r>
            <w:r>
              <w:rPr>
                <w:rFonts w:hint="eastAsia" w:ascii="宋体" w:hAnsi="宋体" w:eastAsia="宋体" w:cs="宋体"/>
                <w:color w:val="000000"/>
                <w:kern w:val="0"/>
                <w:sz w:val="22"/>
                <w:szCs w:val="22"/>
              </w:rPr>
              <w:t>护理型床位占比不低于</w:t>
            </w:r>
          </w:p>
        </w:tc>
        <w:tc>
          <w:tcPr>
            <w:tcW w:w="43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89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707" w:type="dxa"/>
            <w:shd w:val="clear" w:color="auto" w:fill="auto"/>
            <w:noWrap/>
            <w:vAlign w:val="center"/>
          </w:tcPr>
          <w:p>
            <w:pPr>
              <w:widowControl/>
              <w:spacing w:line="240" w:lineRule="auto"/>
              <w:ind w:firstLine="0" w:firstLineChars="0"/>
              <w:jc w:val="center"/>
              <w:rPr>
                <w:rFonts w:eastAsia="Times New Roman"/>
                <w:kern w:val="0"/>
                <w:sz w:val="20"/>
                <w:szCs w:val="20"/>
              </w:rPr>
            </w:pPr>
            <w:r>
              <w:rPr>
                <w:rFonts w:ascii="宋体" w:hAnsi="宋体" w:eastAsia="宋体" w:cs="宋体"/>
                <w:color w:val="000000"/>
                <w:kern w:val="0"/>
                <w:sz w:val="22"/>
                <w:szCs w:val="22"/>
              </w:rPr>
              <w:t>47</w:t>
            </w:r>
          </w:p>
        </w:tc>
        <w:tc>
          <w:tcPr>
            <w:tcW w:w="706"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92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49"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w:t>
            </w:r>
          </w:p>
        </w:tc>
        <w:tc>
          <w:tcPr>
            <w:tcW w:w="760"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养老服务</w:t>
            </w:r>
          </w:p>
        </w:tc>
        <w:tc>
          <w:tcPr>
            <w:tcW w:w="3202" w:type="dxa"/>
            <w:shd w:val="clear" w:color="auto" w:fill="auto"/>
            <w:noWrap/>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特困人员供养服务设施（敬老院）在内的公办养老机构入住率不低于</w:t>
            </w:r>
          </w:p>
        </w:tc>
        <w:tc>
          <w:tcPr>
            <w:tcW w:w="43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89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707" w:type="dxa"/>
            <w:shd w:val="clear" w:color="auto" w:fill="auto"/>
            <w:noWrap/>
            <w:vAlign w:val="center"/>
          </w:tcPr>
          <w:p>
            <w:pPr>
              <w:widowControl/>
              <w:spacing w:line="240" w:lineRule="auto"/>
              <w:ind w:firstLine="0" w:firstLineChars="0"/>
              <w:jc w:val="center"/>
              <w:rPr>
                <w:rFonts w:eastAsia="Times New Roman"/>
                <w:kern w:val="0"/>
                <w:sz w:val="20"/>
                <w:szCs w:val="20"/>
              </w:rPr>
            </w:pPr>
            <w:r>
              <w:rPr>
                <w:rFonts w:hint="eastAsia" w:ascii="宋体" w:hAnsi="宋体" w:eastAsia="宋体" w:cs="宋体"/>
                <w:color w:val="000000"/>
                <w:kern w:val="0"/>
                <w:sz w:val="22"/>
                <w:szCs w:val="22"/>
              </w:rPr>
              <w:t>55</w:t>
            </w:r>
          </w:p>
        </w:tc>
        <w:tc>
          <w:tcPr>
            <w:tcW w:w="706"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92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49"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w:t>
            </w:r>
          </w:p>
        </w:tc>
        <w:tc>
          <w:tcPr>
            <w:tcW w:w="760"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养老服务</w:t>
            </w:r>
          </w:p>
        </w:tc>
        <w:tc>
          <w:tcPr>
            <w:tcW w:w="3202" w:type="dxa"/>
            <w:shd w:val="clear" w:color="auto" w:fill="auto"/>
            <w:noWrap/>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有集中供养意愿的特困人员集中供养率</w:t>
            </w:r>
          </w:p>
        </w:tc>
        <w:tc>
          <w:tcPr>
            <w:tcW w:w="43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89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c>
          <w:tcPr>
            <w:tcW w:w="707" w:type="dxa"/>
            <w:shd w:val="clear" w:color="auto" w:fill="auto"/>
            <w:noWrap/>
            <w:vAlign w:val="center"/>
          </w:tcPr>
          <w:p>
            <w:pPr>
              <w:widowControl/>
              <w:spacing w:line="240" w:lineRule="auto"/>
              <w:ind w:firstLine="0" w:firstLineChars="0"/>
              <w:jc w:val="center"/>
              <w:rPr>
                <w:rFonts w:eastAsia="Times New Roman"/>
                <w:kern w:val="0"/>
                <w:sz w:val="20"/>
                <w:szCs w:val="20"/>
              </w:rPr>
            </w:pPr>
            <w:r>
              <w:rPr>
                <w:rFonts w:hint="eastAsia" w:ascii="宋体" w:hAnsi="宋体" w:eastAsia="宋体" w:cs="宋体"/>
                <w:color w:val="000000"/>
                <w:kern w:val="0"/>
                <w:sz w:val="22"/>
                <w:szCs w:val="22"/>
              </w:rPr>
              <w:t>100</w:t>
            </w:r>
          </w:p>
        </w:tc>
        <w:tc>
          <w:tcPr>
            <w:tcW w:w="706"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c>
          <w:tcPr>
            <w:tcW w:w="92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49"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5</w:t>
            </w:r>
          </w:p>
        </w:tc>
        <w:tc>
          <w:tcPr>
            <w:tcW w:w="760"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养老服务</w:t>
            </w:r>
          </w:p>
        </w:tc>
        <w:tc>
          <w:tcPr>
            <w:tcW w:w="3202" w:type="dxa"/>
            <w:shd w:val="clear" w:color="auto" w:fill="auto"/>
            <w:noWrap/>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星级以上养老服务机构占养老服务机构总数的比例不低于</w:t>
            </w:r>
          </w:p>
        </w:tc>
        <w:tc>
          <w:tcPr>
            <w:tcW w:w="43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89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707" w:type="dxa"/>
            <w:shd w:val="clear" w:color="auto" w:fill="auto"/>
            <w:noWrap/>
            <w:vAlign w:val="center"/>
          </w:tcPr>
          <w:p>
            <w:pPr>
              <w:widowControl/>
              <w:spacing w:line="240" w:lineRule="auto"/>
              <w:ind w:firstLine="0" w:firstLineChars="0"/>
              <w:jc w:val="center"/>
              <w:rPr>
                <w:rFonts w:eastAsia="Times New Roman"/>
                <w:kern w:val="0"/>
                <w:sz w:val="20"/>
                <w:szCs w:val="20"/>
              </w:rPr>
            </w:pPr>
            <w:r>
              <w:rPr>
                <w:rFonts w:hint="eastAsia" w:ascii="宋体" w:hAnsi="宋体" w:eastAsia="宋体" w:cs="宋体"/>
                <w:color w:val="000000"/>
                <w:kern w:val="0"/>
                <w:sz w:val="22"/>
                <w:szCs w:val="22"/>
              </w:rPr>
              <w:t>-</w:t>
            </w:r>
          </w:p>
        </w:tc>
        <w:tc>
          <w:tcPr>
            <w:tcW w:w="706"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r>
              <w:rPr>
                <w:rFonts w:ascii="宋体" w:hAnsi="宋体" w:eastAsia="宋体" w:cs="宋体"/>
                <w:color w:val="000000"/>
                <w:kern w:val="0"/>
                <w:sz w:val="22"/>
                <w:szCs w:val="22"/>
              </w:rPr>
              <w:t>0</w:t>
            </w:r>
          </w:p>
        </w:tc>
        <w:tc>
          <w:tcPr>
            <w:tcW w:w="92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49"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6</w:t>
            </w:r>
          </w:p>
        </w:tc>
        <w:tc>
          <w:tcPr>
            <w:tcW w:w="760"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养老服务</w:t>
            </w:r>
          </w:p>
        </w:tc>
        <w:tc>
          <w:tcPr>
            <w:tcW w:w="3202" w:type="dxa"/>
            <w:shd w:val="clear" w:color="auto" w:fill="auto"/>
            <w:noWrap/>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特殊困难老年人月探访率</w:t>
            </w:r>
          </w:p>
        </w:tc>
        <w:tc>
          <w:tcPr>
            <w:tcW w:w="43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89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c>
          <w:tcPr>
            <w:tcW w:w="707" w:type="dxa"/>
            <w:shd w:val="clear" w:color="auto" w:fill="auto"/>
            <w:noWrap/>
            <w:vAlign w:val="center"/>
          </w:tcPr>
          <w:p>
            <w:pPr>
              <w:widowControl/>
              <w:spacing w:line="240" w:lineRule="auto"/>
              <w:ind w:firstLine="0" w:firstLineChars="0"/>
              <w:jc w:val="center"/>
              <w:rPr>
                <w:rFonts w:eastAsia="Times New Roman"/>
                <w:kern w:val="0"/>
                <w:sz w:val="20"/>
                <w:szCs w:val="20"/>
              </w:rPr>
            </w:pPr>
            <w:r>
              <w:rPr>
                <w:rFonts w:hint="eastAsia" w:ascii="宋体" w:hAnsi="宋体" w:eastAsia="宋体" w:cs="宋体"/>
                <w:color w:val="000000"/>
                <w:kern w:val="0"/>
                <w:sz w:val="22"/>
                <w:szCs w:val="22"/>
              </w:rPr>
              <w:t>100</w:t>
            </w:r>
          </w:p>
        </w:tc>
        <w:tc>
          <w:tcPr>
            <w:tcW w:w="706"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c>
          <w:tcPr>
            <w:tcW w:w="92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49"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7</w:t>
            </w:r>
          </w:p>
        </w:tc>
        <w:tc>
          <w:tcPr>
            <w:tcW w:w="760"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养老服务</w:t>
            </w:r>
          </w:p>
        </w:tc>
        <w:tc>
          <w:tcPr>
            <w:tcW w:w="3202" w:type="dxa"/>
            <w:shd w:val="clear" w:color="auto" w:fill="auto"/>
            <w:noWrap/>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新建居住(小)区配建养老服务设施达标率</w:t>
            </w:r>
          </w:p>
        </w:tc>
        <w:tc>
          <w:tcPr>
            <w:tcW w:w="43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89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707" w:type="dxa"/>
            <w:shd w:val="clear" w:color="auto" w:fill="auto"/>
            <w:noWrap/>
            <w:vAlign w:val="center"/>
          </w:tcPr>
          <w:p>
            <w:pPr>
              <w:widowControl/>
              <w:spacing w:line="240" w:lineRule="auto"/>
              <w:ind w:firstLine="0" w:firstLineChars="0"/>
              <w:jc w:val="center"/>
              <w:rPr>
                <w:rFonts w:eastAsia="Times New Roman"/>
                <w:kern w:val="0"/>
                <w:sz w:val="20"/>
                <w:szCs w:val="20"/>
              </w:rPr>
            </w:pPr>
            <w:r>
              <w:rPr>
                <w:rFonts w:hint="eastAsia" w:ascii="宋体" w:hAnsi="宋体" w:eastAsia="宋体" w:cs="宋体"/>
                <w:color w:val="000000"/>
                <w:kern w:val="0"/>
                <w:sz w:val="22"/>
                <w:szCs w:val="22"/>
              </w:rPr>
              <w:t>-</w:t>
            </w:r>
          </w:p>
        </w:tc>
        <w:tc>
          <w:tcPr>
            <w:tcW w:w="706"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00</w:t>
            </w:r>
          </w:p>
        </w:tc>
        <w:tc>
          <w:tcPr>
            <w:tcW w:w="92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49"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8</w:t>
            </w:r>
          </w:p>
        </w:tc>
        <w:tc>
          <w:tcPr>
            <w:tcW w:w="760"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老年健康</w:t>
            </w:r>
          </w:p>
        </w:tc>
        <w:tc>
          <w:tcPr>
            <w:tcW w:w="3202" w:type="dxa"/>
            <w:shd w:val="clear" w:color="auto" w:fill="auto"/>
            <w:noWrap/>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二级以上综合医院开设老年医学科比例不低于</w:t>
            </w:r>
          </w:p>
        </w:tc>
        <w:tc>
          <w:tcPr>
            <w:tcW w:w="43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89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707" w:type="dxa"/>
            <w:shd w:val="clear" w:color="auto" w:fill="auto"/>
            <w:noWrap/>
            <w:vAlign w:val="center"/>
          </w:tcPr>
          <w:p>
            <w:pPr>
              <w:widowControl/>
              <w:spacing w:line="240" w:lineRule="auto"/>
              <w:ind w:firstLine="0" w:firstLineChars="0"/>
              <w:jc w:val="center"/>
              <w:rPr>
                <w:rFonts w:eastAsia="Times New Roman"/>
                <w:kern w:val="0"/>
                <w:sz w:val="20"/>
                <w:szCs w:val="20"/>
              </w:rPr>
            </w:pPr>
            <w:r>
              <w:rPr>
                <w:rFonts w:hint="eastAsia" w:ascii="宋体" w:hAnsi="宋体" w:eastAsia="宋体" w:cs="宋体"/>
                <w:color w:val="000000"/>
                <w:kern w:val="0"/>
                <w:sz w:val="22"/>
                <w:szCs w:val="22"/>
              </w:rPr>
              <w:t>-</w:t>
            </w:r>
          </w:p>
        </w:tc>
        <w:tc>
          <w:tcPr>
            <w:tcW w:w="706"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6</w:t>
            </w:r>
            <w:r>
              <w:rPr>
                <w:rFonts w:hint="eastAsia" w:ascii="宋体" w:hAnsi="宋体" w:eastAsia="宋体" w:cs="宋体"/>
                <w:color w:val="000000"/>
                <w:kern w:val="0"/>
                <w:sz w:val="22"/>
                <w:szCs w:val="22"/>
              </w:rPr>
              <w:t>0</w:t>
            </w:r>
          </w:p>
        </w:tc>
        <w:tc>
          <w:tcPr>
            <w:tcW w:w="92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49"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9</w:t>
            </w:r>
          </w:p>
        </w:tc>
        <w:tc>
          <w:tcPr>
            <w:tcW w:w="760"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老年健康</w:t>
            </w:r>
          </w:p>
        </w:tc>
        <w:tc>
          <w:tcPr>
            <w:tcW w:w="3202" w:type="dxa"/>
            <w:shd w:val="clear" w:color="auto" w:fill="auto"/>
            <w:noWrap/>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三级中医院设置康复科比例</w:t>
            </w:r>
          </w:p>
        </w:tc>
        <w:tc>
          <w:tcPr>
            <w:tcW w:w="43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89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707" w:type="dxa"/>
            <w:shd w:val="clear" w:color="auto" w:fill="auto"/>
            <w:noWrap/>
            <w:vAlign w:val="center"/>
          </w:tcPr>
          <w:p>
            <w:pPr>
              <w:widowControl/>
              <w:spacing w:line="240" w:lineRule="auto"/>
              <w:ind w:firstLine="0" w:firstLineChars="0"/>
              <w:jc w:val="center"/>
              <w:rPr>
                <w:rFonts w:eastAsia="Times New Roman"/>
                <w:kern w:val="0"/>
                <w:sz w:val="20"/>
                <w:szCs w:val="20"/>
              </w:rPr>
            </w:pPr>
            <w:r>
              <w:rPr>
                <w:rFonts w:hint="eastAsia" w:ascii="宋体" w:hAnsi="宋体" w:eastAsia="宋体" w:cs="宋体"/>
                <w:color w:val="000000"/>
                <w:kern w:val="0"/>
                <w:sz w:val="22"/>
                <w:szCs w:val="22"/>
              </w:rPr>
              <w:t>-</w:t>
            </w:r>
          </w:p>
        </w:tc>
        <w:tc>
          <w:tcPr>
            <w:tcW w:w="706" w:type="dxa"/>
            <w:shd w:val="clear" w:color="auto" w:fill="auto"/>
            <w:noWrap/>
            <w:vAlign w:val="center"/>
          </w:tcPr>
          <w:p>
            <w:pPr>
              <w:widowControl/>
              <w:spacing w:line="240" w:lineRule="auto"/>
              <w:ind w:firstLine="0" w:firstLineChars="0"/>
              <w:jc w:val="center"/>
              <w:rPr>
                <w:rFonts w:eastAsia="Times New Roman"/>
                <w:kern w:val="0"/>
                <w:sz w:val="20"/>
                <w:szCs w:val="20"/>
              </w:rPr>
            </w:pPr>
            <w:r>
              <w:rPr>
                <w:rFonts w:hint="eastAsia" w:ascii="宋体" w:hAnsi="宋体" w:eastAsia="宋体" w:cs="宋体"/>
                <w:color w:val="000000"/>
                <w:kern w:val="0"/>
                <w:sz w:val="22"/>
                <w:szCs w:val="22"/>
              </w:rPr>
              <w:t>100</w:t>
            </w:r>
          </w:p>
        </w:tc>
        <w:tc>
          <w:tcPr>
            <w:tcW w:w="92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49"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10</w:t>
            </w:r>
          </w:p>
        </w:tc>
        <w:tc>
          <w:tcPr>
            <w:tcW w:w="760"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老年健康</w:t>
            </w:r>
          </w:p>
        </w:tc>
        <w:tc>
          <w:tcPr>
            <w:tcW w:w="3202" w:type="dxa"/>
            <w:shd w:val="clear" w:color="auto" w:fill="auto"/>
            <w:noWrap/>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老年友善医疗机构比例不低于</w:t>
            </w:r>
          </w:p>
        </w:tc>
        <w:tc>
          <w:tcPr>
            <w:tcW w:w="43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89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707" w:type="dxa"/>
            <w:shd w:val="clear" w:color="auto" w:fill="auto"/>
            <w:noWrap/>
            <w:vAlign w:val="center"/>
          </w:tcPr>
          <w:p>
            <w:pPr>
              <w:widowControl/>
              <w:spacing w:line="240" w:lineRule="auto"/>
              <w:ind w:firstLine="0" w:firstLineChars="0"/>
              <w:jc w:val="center"/>
              <w:rPr>
                <w:rFonts w:eastAsia="Times New Roman"/>
                <w:kern w:val="0"/>
                <w:sz w:val="20"/>
                <w:szCs w:val="20"/>
              </w:rPr>
            </w:pPr>
            <w:r>
              <w:rPr>
                <w:rFonts w:hint="eastAsia" w:ascii="宋体" w:hAnsi="宋体" w:eastAsia="宋体" w:cs="宋体"/>
                <w:color w:val="000000"/>
                <w:kern w:val="0"/>
                <w:sz w:val="22"/>
                <w:szCs w:val="22"/>
              </w:rPr>
              <w:t>-</w:t>
            </w:r>
          </w:p>
        </w:tc>
        <w:tc>
          <w:tcPr>
            <w:tcW w:w="706"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85</w:t>
            </w:r>
          </w:p>
        </w:tc>
        <w:tc>
          <w:tcPr>
            <w:tcW w:w="92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49"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11</w:t>
            </w:r>
          </w:p>
        </w:tc>
        <w:tc>
          <w:tcPr>
            <w:tcW w:w="760"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老年健康</w:t>
            </w:r>
          </w:p>
        </w:tc>
        <w:tc>
          <w:tcPr>
            <w:tcW w:w="3202" w:type="dxa"/>
            <w:shd w:val="clear" w:color="auto" w:fill="auto"/>
            <w:noWrap/>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65岁及以上老年人健康管理率不低于</w:t>
            </w:r>
          </w:p>
        </w:tc>
        <w:tc>
          <w:tcPr>
            <w:tcW w:w="43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89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707" w:type="dxa"/>
            <w:shd w:val="clear" w:color="auto" w:fill="auto"/>
            <w:noWrap/>
            <w:vAlign w:val="center"/>
          </w:tcPr>
          <w:p>
            <w:pPr>
              <w:widowControl/>
              <w:spacing w:line="240" w:lineRule="auto"/>
              <w:ind w:firstLine="0" w:firstLineChars="0"/>
              <w:jc w:val="center"/>
              <w:rPr>
                <w:rFonts w:eastAsia="Times New Roman"/>
                <w:kern w:val="0"/>
                <w:sz w:val="20"/>
                <w:szCs w:val="20"/>
              </w:rPr>
            </w:pPr>
            <w:r>
              <w:rPr>
                <w:rFonts w:hint="eastAsia" w:ascii="宋体" w:hAnsi="宋体" w:eastAsia="宋体" w:cs="宋体"/>
                <w:color w:val="000000"/>
                <w:kern w:val="0"/>
                <w:sz w:val="22"/>
                <w:szCs w:val="22"/>
              </w:rPr>
              <w:t>70</w:t>
            </w:r>
          </w:p>
        </w:tc>
        <w:tc>
          <w:tcPr>
            <w:tcW w:w="706"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72</w:t>
            </w:r>
          </w:p>
        </w:tc>
        <w:tc>
          <w:tcPr>
            <w:tcW w:w="92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49"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2</w:t>
            </w:r>
          </w:p>
        </w:tc>
        <w:tc>
          <w:tcPr>
            <w:tcW w:w="760"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保障</w:t>
            </w:r>
          </w:p>
        </w:tc>
        <w:tc>
          <w:tcPr>
            <w:tcW w:w="3202" w:type="dxa"/>
            <w:shd w:val="clear" w:color="auto" w:fill="auto"/>
            <w:noWrap/>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养老服务从业人员岗前培训率</w:t>
            </w:r>
          </w:p>
        </w:tc>
        <w:tc>
          <w:tcPr>
            <w:tcW w:w="43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89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c>
          <w:tcPr>
            <w:tcW w:w="707" w:type="dxa"/>
            <w:shd w:val="clear" w:color="auto" w:fill="auto"/>
            <w:noWrap/>
            <w:vAlign w:val="center"/>
          </w:tcPr>
          <w:p>
            <w:pPr>
              <w:widowControl/>
              <w:spacing w:line="240" w:lineRule="auto"/>
              <w:ind w:firstLine="0" w:firstLineChars="0"/>
              <w:jc w:val="center"/>
              <w:rPr>
                <w:rFonts w:eastAsia="Times New Roman"/>
                <w:kern w:val="0"/>
                <w:sz w:val="20"/>
                <w:szCs w:val="20"/>
              </w:rPr>
            </w:pPr>
            <w:r>
              <w:rPr>
                <w:rFonts w:hint="eastAsia" w:ascii="宋体" w:hAnsi="宋体" w:eastAsia="宋体" w:cs="宋体"/>
                <w:color w:val="000000"/>
                <w:kern w:val="0"/>
                <w:sz w:val="22"/>
                <w:szCs w:val="22"/>
              </w:rPr>
              <w:t>100</w:t>
            </w:r>
          </w:p>
        </w:tc>
        <w:tc>
          <w:tcPr>
            <w:tcW w:w="706"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00</w:t>
            </w:r>
          </w:p>
        </w:tc>
        <w:tc>
          <w:tcPr>
            <w:tcW w:w="92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49"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3</w:t>
            </w:r>
          </w:p>
        </w:tc>
        <w:tc>
          <w:tcPr>
            <w:tcW w:w="760"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保障</w:t>
            </w:r>
          </w:p>
        </w:tc>
        <w:tc>
          <w:tcPr>
            <w:tcW w:w="3202" w:type="dxa"/>
            <w:shd w:val="clear" w:color="auto" w:fill="auto"/>
            <w:noWrap/>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福利彩票公益金用于支持发展养老服务比例不低于</w:t>
            </w:r>
          </w:p>
        </w:tc>
        <w:tc>
          <w:tcPr>
            <w:tcW w:w="43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892"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707" w:type="dxa"/>
            <w:shd w:val="clear" w:color="auto" w:fill="auto"/>
            <w:noWrap/>
            <w:vAlign w:val="center"/>
          </w:tcPr>
          <w:p>
            <w:pPr>
              <w:widowControl/>
              <w:spacing w:line="240" w:lineRule="auto"/>
              <w:ind w:firstLine="0" w:firstLineChars="0"/>
              <w:jc w:val="center"/>
              <w:rPr>
                <w:rFonts w:eastAsia="Times New Roman"/>
                <w:kern w:val="0"/>
                <w:sz w:val="20"/>
                <w:szCs w:val="20"/>
              </w:rPr>
            </w:pPr>
            <w:r>
              <w:rPr>
                <w:rFonts w:hint="eastAsia" w:ascii="宋体" w:hAnsi="宋体" w:eastAsia="宋体" w:cs="宋体"/>
                <w:color w:val="000000"/>
                <w:kern w:val="0"/>
                <w:sz w:val="22"/>
                <w:szCs w:val="22"/>
              </w:rPr>
              <w:t>55</w:t>
            </w:r>
          </w:p>
        </w:tc>
        <w:tc>
          <w:tcPr>
            <w:tcW w:w="706"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r>
              <w:rPr>
                <w:rFonts w:ascii="宋体" w:hAnsi="宋体" w:eastAsia="宋体" w:cs="宋体"/>
                <w:color w:val="000000"/>
                <w:kern w:val="0"/>
                <w:sz w:val="22"/>
                <w:szCs w:val="22"/>
              </w:rPr>
              <w:t>5</w:t>
            </w:r>
          </w:p>
        </w:tc>
        <w:tc>
          <w:tcPr>
            <w:tcW w:w="928" w:type="dxa"/>
            <w:shd w:val="clear" w:color="auto" w:fill="auto"/>
            <w:noWrap/>
            <w:vAlign w:val="center"/>
          </w:tcPr>
          <w:p>
            <w:pPr>
              <w:widowControl/>
              <w:spacing w:line="240" w:lineRule="auto"/>
              <w:ind w:firstLine="0" w:firstLineChars="0"/>
              <w:jc w:val="center"/>
              <w:rPr>
                <w:rFonts w:eastAsia="Times New Roman"/>
                <w:kern w:val="0"/>
                <w:sz w:val="20"/>
                <w:szCs w:val="20"/>
              </w:rPr>
            </w:pPr>
            <w:r>
              <w:rPr>
                <w:rFonts w:hint="eastAsia" w:ascii="宋体" w:hAnsi="宋体" w:eastAsia="宋体" w:cs="宋体"/>
                <w:color w:val="000000"/>
                <w:kern w:val="0"/>
                <w:sz w:val="22"/>
                <w:szCs w:val="22"/>
              </w:rPr>
              <w:t>约束性</w:t>
            </w:r>
          </w:p>
        </w:tc>
      </w:tr>
      <w:bookmarkEnd w:id="88"/>
    </w:tbl>
    <w:p>
      <w:pPr>
        <w:ind w:firstLine="199" w:firstLineChars="62"/>
        <w:jc w:val="center"/>
        <w:rPr>
          <w:rFonts w:ascii="仿宋" w:hAnsi="仿宋"/>
          <w:b/>
        </w:rPr>
        <w:sectPr>
          <w:footerReference r:id="rId12" w:type="default"/>
          <w:pgSz w:w="11906" w:h="16838"/>
          <w:pgMar w:top="1440" w:right="1800" w:bottom="1440" w:left="1800" w:header="851" w:footer="0" w:gutter="0"/>
          <w:cols w:space="720" w:num="1"/>
          <w:docGrid w:type="lines" w:linePitch="435" w:charSpace="0"/>
        </w:sectPr>
      </w:pPr>
    </w:p>
    <w:p>
      <w:pPr>
        <w:ind w:firstLine="640"/>
      </w:pPr>
    </w:p>
    <w:p>
      <w:pPr>
        <w:pStyle w:val="2"/>
      </w:pPr>
      <w:bookmarkStart w:id="19" w:name="_Toc107308230"/>
      <w:r>
        <w:t>三、主要任务</w:t>
      </w:r>
      <w:bookmarkEnd w:id="19"/>
    </w:p>
    <w:p>
      <w:pPr>
        <w:pStyle w:val="3"/>
        <w:ind w:firstLine="643"/>
      </w:pPr>
      <w:bookmarkStart w:id="20" w:name="_Toc107308231"/>
      <w:r>
        <w:rPr>
          <w:rFonts w:hint="eastAsia"/>
        </w:rPr>
        <w:t>（一）提升鹰城养老服务体系</w:t>
      </w:r>
      <w:bookmarkEnd w:id="20"/>
    </w:p>
    <w:p>
      <w:pPr>
        <w:pStyle w:val="4"/>
        <w:ind w:firstLine="643"/>
      </w:pPr>
      <w:bookmarkStart w:id="21" w:name="_Toc107308232"/>
      <w:r>
        <w:t>1.</w:t>
      </w:r>
      <w:r>
        <w:rPr>
          <w:rFonts w:hint="eastAsia"/>
        </w:rPr>
        <w:t>积极推进养老服务机构建设</w:t>
      </w:r>
      <w:bookmarkEnd w:id="21"/>
    </w:p>
    <w:p>
      <w:pPr>
        <w:ind w:firstLine="643"/>
      </w:pPr>
      <w:bookmarkStart w:id="22" w:name="_Hlk92980991"/>
      <w:r>
        <w:rPr>
          <w:rFonts w:hint="eastAsia"/>
          <w:b/>
          <w:bCs/>
        </w:rPr>
        <w:t>培育不同类型养老机构。</w:t>
      </w:r>
      <w:r>
        <w:rPr>
          <w:rFonts w:hint="eastAsia"/>
        </w:rPr>
        <w:t>支持县级养老服务机构建设改造，支持将具备条件的乡镇级特困人员供养服务设施（敬老院）改扩建为区域养老服务中心。深入推进城企联动普惠养老专项行动，鼓励社会力量投资兴办面向失能、失智、高龄老年人的医养结合型养老机构和养护型、医护型养老床位。充分利用自然条件及区域优势，引导社会力量投资建设高品质的养老服务机构。到2025年，每个县（市、区）至少有1所以失能、部分失能特困人员专业照护为主，具有医养结合功能的县级特困人员供养服务设施（敬老院）。区域养老服务中心在乡镇（街道）的覆盖率总体达到60%。全市养老服务床位数不低于34600张。</w:t>
      </w:r>
    </w:p>
    <w:p>
      <w:pPr>
        <w:ind w:firstLine="643"/>
      </w:pPr>
      <w:r>
        <w:rPr>
          <w:rFonts w:hint="eastAsia"/>
          <w:b/>
          <w:bCs/>
        </w:rPr>
        <w:t>健全完善社区养老服务网络。</w:t>
      </w:r>
      <w:r>
        <w:rPr>
          <w:rFonts w:hint="eastAsia"/>
        </w:rPr>
        <w:t>通过新建、改造、补建等方式，在城镇和农村分别建设“</w:t>
      </w:r>
      <w:r>
        <w:rPr>
          <w:rFonts w:hint="eastAsia"/>
          <w:lang w:eastAsia="zh-CN"/>
        </w:rPr>
        <w:t>县（市、区）</w:t>
      </w:r>
      <w:r>
        <w:rPr>
          <w:rFonts w:hint="eastAsia"/>
        </w:rPr>
        <w:t>-</w:t>
      </w:r>
      <w:r>
        <w:rPr>
          <w:rFonts w:hint="eastAsia"/>
          <w:lang w:eastAsia="zh-CN"/>
        </w:rPr>
        <w:t>街道</w:t>
      </w:r>
      <w:r>
        <w:rPr>
          <w:rFonts w:hint="eastAsia"/>
        </w:rPr>
        <w:t>-</w:t>
      </w:r>
      <w:r>
        <w:rPr>
          <w:rFonts w:hint="eastAsia"/>
          <w:lang w:eastAsia="zh-CN"/>
        </w:rPr>
        <w:t>社</w:t>
      </w:r>
      <w:r>
        <w:rPr>
          <w:rFonts w:hint="eastAsia"/>
        </w:rPr>
        <w:t>区”、“县-乡-村”三级服务网络，推动形成“15分钟”养老服务圈。大力推进城市街道综合性养老服务中心建设，鼓励有条件的乡镇建设具备综合功能的养老服务机构。加强区域统筹，因地制宜实行分类引导，推进社区日间照料中心和农村幸福院等社区养老服务设施建设。到2025年，所有街道至少建有1个以上具备综合功能的社区养老服务设施。城市社区养老服务设施力争实现全覆盖。</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9"/>
              <w:keepNext/>
              <w:ind w:firstLine="0" w:firstLineChars="0"/>
              <w:jc w:val="center"/>
              <w:rPr>
                <w:rFonts w:ascii="仿宋" w:hAnsi="仿宋" w:eastAsia="仿宋"/>
                <w:b/>
                <w:sz w:val="32"/>
                <w:szCs w:val="32"/>
              </w:rPr>
            </w:pPr>
            <w:bookmarkStart w:id="23" w:name="_Hlk102155333"/>
            <w:r>
              <w:rPr>
                <w:rFonts w:hint="eastAsia" w:ascii="仿宋" w:hAnsi="仿宋" w:eastAsia="仿宋"/>
                <w:b/>
                <w:bCs/>
                <w:sz w:val="32"/>
                <w:szCs w:val="32"/>
              </w:rPr>
              <w:t>专栏1 养老服务设施建设工程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00" w:lineRule="exact"/>
              <w:ind w:firstLine="560"/>
              <w:rPr>
                <w:rFonts w:ascii="仿宋" w:hAnsi="仿宋"/>
                <w:sz w:val="28"/>
                <w:szCs w:val="28"/>
              </w:rPr>
            </w:pPr>
            <w:r>
              <w:rPr>
                <w:rFonts w:ascii="仿宋" w:hAnsi="仿宋"/>
                <w:sz w:val="28"/>
                <w:szCs w:val="28"/>
              </w:rPr>
              <w:t>1.</w:t>
            </w:r>
            <w:r>
              <w:rPr>
                <w:rFonts w:hint="eastAsia" w:ascii="仿宋" w:hAnsi="仿宋"/>
                <w:sz w:val="28"/>
                <w:szCs w:val="28"/>
              </w:rPr>
              <w:t>养老机构建设项目。推进特困人员供养服务设施（敬老院）新建和改扩建（详见附件一），推进普惠型、中高端养老机构建设（详见附件二）。</w:t>
            </w:r>
          </w:p>
          <w:p>
            <w:pPr>
              <w:spacing w:line="500" w:lineRule="exact"/>
              <w:ind w:firstLine="560"/>
              <w:rPr>
                <w:rFonts w:ascii="仿宋" w:hAnsi="仿宋"/>
                <w:sz w:val="28"/>
                <w:szCs w:val="28"/>
              </w:rPr>
            </w:pPr>
            <w:r>
              <w:rPr>
                <w:rFonts w:hint="eastAsia" w:ascii="仿宋" w:hAnsi="仿宋"/>
                <w:sz w:val="28"/>
                <w:szCs w:val="28"/>
              </w:rPr>
              <w:t>2</w:t>
            </w:r>
            <w:r>
              <w:rPr>
                <w:rFonts w:ascii="仿宋" w:hAnsi="仿宋"/>
                <w:sz w:val="28"/>
                <w:szCs w:val="28"/>
              </w:rPr>
              <w:t>.</w:t>
            </w:r>
            <w:r>
              <w:rPr>
                <w:rFonts w:hint="eastAsia" w:ascii="仿宋" w:hAnsi="仿宋"/>
                <w:sz w:val="28"/>
                <w:szCs w:val="28"/>
              </w:rPr>
              <w:t>社区养老服务机构建设项目。推进街道（乡镇）综合养老服务中心，社区日间照料中心（站）和农村幸福院建设（详见附件三）。</w:t>
            </w:r>
          </w:p>
        </w:tc>
      </w:tr>
      <w:bookmarkEnd w:id="22"/>
      <w:bookmarkEnd w:id="23"/>
    </w:tbl>
    <w:p>
      <w:pPr>
        <w:pStyle w:val="4"/>
        <w:ind w:firstLine="643"/>
      </w:pPr>
      <w:bookmarkStart w:id="24" w:name="_Toc107308233"/>
      <w:r>
        <w:rPr>
          <w:rFonts w:hint="eastAsia"/>
        </w:rPr>
        <w:t>2</w:t>
      </w:r>
      <w:r>
        <w:t>.</w:t>
      </w:r>
      <w:r>
        <w:rPr>
          <w:rFonts w:hint="eastAsia"/>
        </w:rPr>
        <w:t>丰富多元化养老服务供给主体</w:t>
      </w:r>
      <w:bookmarkEnd w:id="24"/>
    </w:p>
    <w:p>
      <w:pPr>
        <w:ind w:firstLine="643"/>
      </w:pPr>
      <w:r>
        <w:rPr>
          <w:rFonts w:hint="eastAsia"/>
          <w:b/>
          <w:bCs/>
        </w:rPr>
        <w:t>强化公办养老机构兜底作用。</w:t>
      </w:r>
      <w:r>
        <w:rPr>
          <w:rFonts w:hint="eastAsia"/>
        </w:rPr>
        <w:t>进一步明确公办养老机构“兜底线、保基本”职能定位，切实满足特困人员集中供养需求，优先接收经济困难的失能、孤寡、残疾、高龄老年人以及计划生育特殊家庭老年人、为社会作出重要贡献的老年人。建立公办养老机构入住轮候制度，明确老年人入住轮候前提条件和排序原则。对公办养老机构实行建设成本标准指导和收费价格指导。提高公办养老机构入住率。深化公办养老机构改革</w:t>
      </w:r>
      <w:r>
        <w:rPr>
          <w:rFonts w:hint="eastAsia"/>
          <w:b/>
          <w:bCs/>
        </w:rPr>
        <w:t>，</w:t>
      </w:r>
      <w:r>
        <w:rPr>
          <w:rFonts w:hint="eastAsia"/>
        </w:rPr>
        <w:t>鼓励有条件的公办养老服务设施通过委托管理、补贴运营、股权合作、购买服务等方式，引入企业或社会服务机构参与运营管理。</w:t>
      </w:r>
    </w:p>
    <w:p>
      <w:pPr>
        <w:ind w:firstLine="643"/>
      </w:pPr>
      <w:r>
        <w:rPr>
          <w:rFonts w:hint="eastAsia"/>
          <w:b/>
          <w:bCs/>
        </w:rPr>
        <w:t>推动社会全面参与。</w:t>
      </w:r>
      <w:r>
        <w:rPr>
          <w:rFonts w:hint="eastAsia"/>
        </w:rPr>
        <w:t>建立以社区为平台、社区社会组织为支撑、社会工作专业人才队伍为保障、社区志愿者为补充、社区公益慈善资源为支持的社区居家养老服务“五社联动”工作机制。推进社区低龄老年志愿者与高龄独居老人结成“伙伴”，开展上门探访、情感支持和社区活动等互助养老服务。构建乡镇牵头，村委会、老年协会、低龄健康老年人、农村留守妇女、志愿者等广泛参与的农村互助养老服务格局。探索养老服务“时间银行”项目，实现互助养老服务和志愿服务的可持续化发展，提升为老服务能力。鼓励公益慈善类社会组织参与养老服务。</w:t>
      </w:r>
    </w:p>
    <w:p>
      <w:pPr>
        <w:ind w:firstLine="643"/>
      </w:pPr>
      <w:r>
        <w:rPr>
          <w:rFonts w:hint="eastAsia"/>
          <w:b/>
          <w:bCs/>
        </w:rPr>
        <w:t>构建系统运营模式。</w:t>
      </w:r>
      <w:r>
        <w:rPr>
          <w:rFonts w:hint="eastAsia"/>
        </w:rPr>
        <w:t>鼓励以区域为单位，将多级多类型养老服务机构整体打包投向市场，委托专业社会力量管理运营，构建区域养老服务联合体，破解社区养老服务设施闲置、运营难等问题。支持养老机构运营社区养老服务设施，以街道综合养老服务中心指导带动社区老年人日间照料中心运营。</w:t>
      </w:r>
      <w:r>
        <w:rPr>
          <w:rFonts w:hint="eastAsia" w:ascii="仿宋_GB2312" w:hAnsi="仿宋_GB2312"/>
        </w:rPr>
        <w:t>鼓励吸纳家政、物业等多种业态，入驻社区居家养老服务设施。</w:t>
      </w:r>
      <w:r>
        <w:rPr>
          <w:rFonts w:hint="eastAsia"/>
        </w:rPr>
        <w:t>探索“社区+物业+养老服务”模式，支持物业服务企业积极开展多样化养老服务。</w:t>
      </w:r>
    </w:p>
    <w:p>
      <w:pPr>
        <w:pStyle w:val="4"/>
        <w:ind w:firstLine="643"/>
      </w:pPr>
      <w:bookmarkStart w:id="25" w:name="_Toc107308234"/>
      <w:r>
        <w:rPr>
          <w:rFonts w:hint="eastAsia"/>
        </w:rPr>
        <w:t>3</w:t>
      </w:r>
      <w:r>
        <w:t>.</w:t>
      </w:r>
      <w:r>
        <w:rPr>
          <w:rFonts w:hint="eastAsia"/>
        </w:rPr>
        <w:t>推进居家社区与机构融合发展</w:t>
      </w:r>
      <w:bookmarkEnd w:id="25"/>
    </w:p>
    <w:p>
      <w:pPr>
        <w:ind w:firstLine="643"/>
      </w:pPr>
      <w:r>
        <w:rPr>
          <w:rFonts w:hint="eastAsia"/>
          <w:b/>
          <w:bCs/>
        </w:rPr>
        <w:t>探索一体化融合发展新模式。</w:t>
      </w:r>
      <w:r>
        <w:rPr>
          <w:rFonts w:hint="eastAsia"/>
        </w:rPr>
        <w:t>支持养老机构发挥溢出效应，向社区开放，为老年人提供居家期上门、康复期护理、稳定期生活照料等养老服务。鼓励有条件的乡镇敬老院在满足特困人员集中供养需求的前提下，将服务范围延伸至农村幸福院和居家老年人，并逐步为农村低保、低收入家庭中的老年人低偿提供集中托养服务。因地制宜发展小规模、多功能、专业化的社区嵌入式养老机构，就近就便为社区老年人提供居家照护、家庭病床、康复护理、精神关爱等专业化服务。</w:t>
      </w:r>
    </w:p>
    <w:p>
      <w:pPr>
        <w:ind w:firstLine="643"/>
      </w:pPr>
      <w:r>
        <w:rPr>
          <w:rFonts w:hint="eastAsia"/>
          <w:b/>
          <w:bCs/>
        </w:rPr>
        <w:t>丰富社区养老服务功能提高居家上门服务能力。</w:t>
      </w:r>
      <w:r>
        <w:rPr>
          <w:rFonts w:hint="eastAsia"/>
        </w:rPr>
        <w:t>围绕打造15分钟“养老服务圈”，大力发展助餐、助急、助医、助行、助浴、助洁、家政等服务。以政府购买服务的方式，以菜单式服务包为主要形式，为独居、高龄等特殊老年人群开展居家养老上门服务。引导社会力量充分利用信息技术，创新居家养老照护服务新场景、创造新供给、满足新需求。试点开展家庭养老床位建设，纳入养老服务机构床位统一管理。探索开展失能老年人家庭照护者喘息服务。结合老旧小区改造，推进老年人居家适老化改造。探索建立养老服务顾问制度，帮助老年人和家庭获取养老服务信息。逐步健全康复辅具的社区服务网络，大力推进康复辅具进社区、进家庭。</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9"/>
              <w:keepNext/>
              <w:ind w:firstLine="0" w:firstLineChars="0"/>
              <w:jc w:val="center"/>
              <w:rPr>
                <w:rFonts w:ascii="仿宋" w:hAnsi="仿宋" w:eastAsia="仿宋"/>
                <w:b/>
                <w:sz w:val="32"/>
                <w:szCs w:val="32"/>
              </w:rPr>
            </w:pPr>
            <w:bookmarkStart w:id="26" w:name="_Hlk56561217"/>
            <w:bookmarkStart w:id="27" w:name="_Toc57497014"/>
            <w:bookmarkStart w:id="28" w:name="_Toc57647906"/>
            <w:bookmarkStart w:id="29" w:name="_Toc57604275"/>
            <w:bookmarkStart w:id="30" w:name="_Toc57494519"/>
            <w:r>
              <w:rPr>
                <w:rFonts w:hint="eastAsia" w:ascii="仿宋" w:hAnsi="仿宋" w:eastAsia="仿宋"/>
                <w:b/>
                <w:bCs/>
                <w:sz w:val="32"/>
                <w:szCs w:val="32"/>
              </w:rPr>
              <w:t>专栏</w:t>
            </w:r>
            <w:r>
              <w:rPr>
                <w:rFonts w:ascii="仿宋" w:hAnsi="仿宋" w:eastAsia="仿宋"/>
                <w:b/>
                <w:bCs/>
                <w:sz w:val="32"/>
                <w:szCs w:val="32"/>
              </w:rPr>
              <w:t>2</w:t>
            </w:r>
            <w:bookmarkEnd w:id="26"/>
            <w:bookmarkEnd w:id="27"/>
            <w:bookmarkEnd w:id="28"/>
            <w:bookmarkEnd w:id="29"/>
            <w:bookmarkEnd w:id="30"/>
            <w:r>
              <w:rPr>
                <w:rFonts w:hint="eastAsia" w:ascii="仿宋" w:hAnsi="仿宋" w:eastAsia="仿宋"/>
                <w:b/>
                <w:bCs/>
                <w:sz w:val="32"/>
                <w:szCs w:val="32"/>
              </w:rPr>
              <w:t>社区居家养老服务功能拓展工程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500" w:lineRule="exact"/>
              <w:ind w:firstLine="560"/>
              <w:rPr>
                <w:rFonts w:ascii="仿宋" w:hAnsi="仿宋"/>
                <w:sz w:val="28"/>
                <w:szCs w:val="28"/>
              </w:rPr>
            </w:pPr>
            <w:r>
              <w:rPr>
                <w:rFonts w:hint="eastAsia" w:ascii="仿宋" w:hAnsi="仿宋"/>
                <w:sz w:val="28"/>
                <w:szCs w:val="28"/>
              </w:rPr>
              <w:t>1</w:t>
            </w:r>
            <w:r>
              <w:rPr>
                <w:rFonts w:ascii="仿宋" w:hAnsi="仿宋"/>
                <w:sz w:val="28"/>
                <w:szCs w:val="28"/>
              </w:rPr>
              <w:t>.</w:t>
            </w:r>
            <w:r>
              <w:rPr>
                <w:rFonts w:hint="eastAsia" w:ascii="仿宋" w:hAnsi="仿宋"/>
                <w:sz w:val="28"/>
                <w:szCs w:val="28"/>
              </w:rPr>
              <w:t>家庭养老床位试点项目。制定试点方案，完善家庭养老床位标准规范和政策。</w:t>
            </w:r>
          </w:p>
          <w:p>
            <w:pPr>
              <w:spacing w:line="500" w:lineRule="exact"/>
              <w:ind w:firstLine="560"/>
              <w:rPr>
                <w:rFonts w:ascii="仿宋" w:hAnsi="仿宋"/>
                <w:sz w:val="28"/>
                <w:szCs w:val="28"/>
              </w:rPr>
            </w:pPr>
            <w:r>
              <w:rPr>
                <w:rFonts w:ascii="仿宋" w:hAnsi="仿宋"/>
                <w:sz w:val="28"/>
                <w:szCs w:val="28"/>
              </w:rPr>
              <w:t>2.</w:t>
            </w:r>
            <w:r>
              <w:rPr>
                <w:rFonts w:hint="eastAsia" w:ascii="仿宋" w:hAnsi="仿宋"/>
                <w:sz w:val="28"/>
                <w:szCs w:val="28"/>
              </w:rPr>
              <w:t>家庭照护者培训计划项目。定期为有需求的家庭照护者提供心理慰藉、技术指导等培训。“十四五”期间，全市共计培训不少于5</w:t>
            </w:r>
            <w:r>
              <w:rPr>
                <w:rFonts w:ascii="仿宋" w:hAnsi="仿宋"/>
                <w:sz w:val="28"/>
                <w:szCs w:val="28"/>
              </w:rPr>
              <w:t>000</w:t>
            </w:r>
            <w:r>
              <w:rPr>
                <w:rFonts w:hint="eastAsia" w:ascii="仿宋" w:hAnsi="仿宋"/>
                <w:sz w:val="28"/>
                <w:szCs w:val="28"/>
              </w:rPr>
              <w:t>人次。</w:t>
            </w:r>
          </w:p>
        </w:tc>
      </w:tr>
    </w:tbl>
    <w:p>
      <w:pPr>
        <w:pStyle w:val="4"/>
        <w:ind w:firstLine="643"/>
      </w:pPr>
      <w:bookmarkStart w:id="31" w:name="_Toc107308235"/>
      <w:r>
        <w:rPr>
          <w:rFonts w:hint="eastAsia"/>
        </w:rPr>
        <w:t>4</w:t>
      </w:r>
      <w:r>
        <w:t>.</w:t>
      </w:r>
      <w:r>
        <w:rPr>
          <w:rFonts w:hint="eastAsia"/>
        </w:rPr>
        <w:t>多举措推动养老服务质量提升</w:t>
      </w:r>
      <w:bookmarkEnd w:id="31"/>
    </w:p>
    <w:p>
      <w:pPr>
        <w:ind w:firstLine="643"/>
      </w:pPr>
      <w:r>
        <w:rPr>
          <w:rFonts w:hint="eastAsia"/>
          <w:b/>
          <w:bCs/>
        </w:rPr>
        <w:t>加强养老服务领域安全生产。</w:t>
      </w:r>
      <w:bookmarkStart w:id="32" w:name="_Hlk106830616"/>
      <w:r>
        <w:rPr>
          <w:rFonts w:hint="eastAsia"/>
        </w:rPr>
        <w:t>建立养老服务风险隐患排查整治常态化机制。</w:t>
      </w:r>
      <w:bookmarkEnd w:id="32"/>
      <w:r>
        <w:rPr>
          <w:rFonts w:hint="eastAsia"/>
        </w:rPr>
        <w:t>落实安全生产责任制，完善养老服务领域安全生产工作制度机制。持续实施养老服务机构消防安全达标提升工程。开展无证无照经营养老服务机构排查整治，大力推动安全质量隐患整治工作。完善应急预案体系，建立健全应急救援机制。针对公共卫生、自然灾害等突发事件，增设隔离功能，配备必要的物资和设备，加强人员应急知识培训，提升养老服务机构应急保障能力。</w:t>
      </w:r>
    </w:p>
    <w:p>
      <w:pPr>
        <w:ind w:firstLine="643"/>
      </w:pPr>
      <w:r>
        <w:rPr>
          <w:rFonts w:hint="eastAsia"/>
          <w:b/>
          <w:bCs/>
        </w:rPr>
        <w:t>推进养老服务机构结构性调整。</w:t>
      </w:r>
      <w:r>
        <w:rPr>
          <w:rFonts w:hint="eastAsia"/>
        </w:rPr>
        <w:t>推进养老服务机构加大服务设施升级改造，提高护理型床位设置比例，增设失能老年人护理专区，全面提升康复护理服务水平。探索在养老服务机构设置认知症照护床位。</w:t>
      </w:r>
    </w:p>
    <w:p>
      <w:pPr>
        <w:ind w:firstLine="643"/>
      </w:pPr>
      <w:r>
        <w:rPr>
          <w:rFonts w:hint="eastAsia"/>
          <w:b/>
          <w:bCs/>
        </w:rPr>
        <w:t>开展养老服务机构等级评定工作。</w:t>
      </w:r>
      <w:r>
        <w:rPr>
          <w:rFonts w:hint="eastAsia"/>
        </w:rPr>
        <w:t>加强养老服务机构规范化和标准化管理。将养老服务机构等级评定作为提高管理和服务水平的重要抓手，与扶持补贴政策相挂钩。打造一批星级养老服务机构，充分发挥星级养老服务机构的示范引领作用。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9"/>
              <w:keepNext/>
              <w:ind w:firstLine="0" w:firstLineChars="0"/>
              <w:jc w:val="center"/>
              <w:rPr>
                <w:rFonts w:ascii="仿宋" w:hAnsi="仿宋" w:eastAsia="仿宋"/>
                <w:b/>
                <w:sz w:val="32"/>
                <w:szCs w:val="32"/>
              </w:rPr>
            </w:pPr>
            <w:r>
              <w:rPr>
                <w:rFonts w:hint="eastAsia" w:ascii="仿宋" w:hAnsi="仿宋" w:eastAsia="仿宋"/>
                <w:b/>
                <w:bCs/>
                <w:sz w:val="32"/>
                <w:szCs w:val="32"/>
              </w:rPr>
              <w:t xml:space="preserve">专栏3 </w:t>
            </w:r>
            <w:r>
              <w:rPr>
                <w:rFonts w:hint="eastAsia" w:ascii="仿宋" w:hAnsi="仿宋" w:eastAsia="仿宋"/>
                <w:b/>
                <w:sz w:val="32"/>
                <w:szCs w:val="32"/>
              </w:rPr>
              <w:t>养老服务质量提升工程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spacing w:line="460" w:lineRule="exact"/>
              <w:ind w:firstLine="560"/>
              <w:jc w:val="left"/>
              <w:rPr>
                <w:sz w:val="28"/>
                <w:szCs w:val="28"/>
              </w:rPr>
            </w:pPr>
            <w:r>
              <w:rPr>
                <w:rFonts w:hint="eastAsia"/>
                <w:sz w:val="28"/>
                <w:szCs w:val="28"/>
              </w:rPr>
              <w:t>1</w:t>
            </w:r>
            <w:r>
              <w:rPr>
                <w:sz w:val="28"/>
                <w:szCs w:val="28"/>
              </w:rPr>
              <w:t>.</w:t>
            </w:r>
            <w:r>
              <w:rPr>
                <w:rFonts w:hint="eastAsia"/>
                <w:sz w:val="28"/>
                <w:szCs w:val="28"/>
              </w:rPr>
              <w:t>养老机构改造提升项目。加强养老机构规范化建设，使其符合养老机构服务安全基本规范等标准。推进特困人员供养服务设施（敬老院）消防改造（详见附件一）。提高养老机构服务质量，提升达标率、入住率。</w:t>
            </w:r>
          </w:p>
          <w:p>
            <w:pPr>
              <w:widowControl/>
              <w:spacing w:line="460" w:lineRule="exact"/>
              <w:ind w:firstLine="560"/>
              <w:jc w:val="left"/>
              <w:rPr>
                <w:rFonts w:ascii="仿宋"/>
                <w:sz w:val="28"/>
                <w:szCs w:val="28"/>
              </w:rPr>
            </w:pPr>
            <w:r>
              <w:rPr>
                <w:rFonts w:hint="eastAsia"/>
                <w:sz w:val="28"/>
                <w:szCs w:val="28"/>
              </w:rPr>
              <w:t>2</w:t>
            </w:r>
            <w:r>
              <w:rPr>
                <w:sz w:val="28"/>
                <w:szCs w:val="28"/>
              </w:rPr>
              <w:t>.</w:t>
            </w:r>
            <w:r>
              <w:rPr>
                <w:rFonts w:hint="eastAsia"/>
                <w:sz w:val="28"/>
                <w:szCs w:val="28"/>
              </w:rPr>
              <w:t>养老服务机构等级评定项目。对已开展运营的符合申报条件的各类养老服务设施开展等级评定。</w:t>
            </w:r>
            <w:r>
              <w:rPr>
                <w:rFonts w:hint="eastAsia" w:ascii="仿宋"/>
                <w:sz w:val="28"/>
                <w:szCs w:val="28"/>
              </w:rPr>
              <w:t>到2025年底，全市打造10</w:t>
            </w:r>
            <w:r>
              <w:rPr>
                <w:rFonts w:ascii="仿宋"/>
                <w:sz w:val="28"/>
                <w:szCs w:val="28"/>
              </w:rPr>
              <w:t>0</w:t>
            </w:r>
            <w:r>
              <w:rPr>
                <w:rFonts w:hint="eastAsia" w:ascii="仿宋"/>
                <w:sz w:val="28"/>
                <w:szCs w:val="28"/>
              </w:rPr>
              <w:t>个左右社区养老服务示范中心。</w:t>
            </w:r>
          </w:p>
        </w:tc>
      </w:tr>
    </w:tbl>
    <w:p>
      <w:pPr>
        <w:pStyle w:val="4"/>
        <w:ind w:firstLine="643"/>
      </w:pPr>
      <w:bookmarkStart w:id="33" w:name="_Toc107308236"/>
      <w:r>
        <w:rPr>
          <w:rFonts w:hint="eastAsia"/>
        </w:rPr>
        <w:t>5.建立完善基本养老服务制度</w:t>
      </w:r>
      <w:bookmarkEnd w:id="33"/>
    </w:p>
    <w:p>
      <w:pPr>
        <w:ind w:firstLine="640"/>
      </w:pPr>
      <w:r>
        <w:rPr>
          <w:rFonts w:hint="eastAsia"/>
        </w:rPr>
        <w:t>建立老年人能力综合评估制度。对有需求的老年人能力、需求、健康、照护、消费等进行评估，科学确定老年人服务需求和照护等级。推动建立评估结果跨部门互认机制，作为领取老年人补贴、设立家庭养老床位、接受基本养老服务的依据。推动建设一批综合评估机构和评估队伍，加强评估人员培训和能力建设。</w:t>
      </w:r>
    </w:p>
    <w:p>
      <w:pPr>
        <w:ind w:firstLine="640"/>
      </w:pPr>
      <w:r>
        <w:rPr>
          <w:rFonts w:hint="eastAsia"/>
        </w:rPr>
        <w:t>健全基本养老服务清单制度。明确基本服务对象、服务内容、服务标准、支出责任等。建立动态调整机制，及时向社会公布。将基本养老服务清单内容纳入基本公共服务范畴，将购买基本养老服务纳入政府向社会力量购买服务指导性目录。</w:t>
      </w:r>
    </w:p>
    <w:p>
      <w:pPr>
        <w:ind w:firstLine="640"/>
      </w:pPr>
      <w:r>
        <w:rPr>
          <w:rFonts w:hint="eastAsia"/>
        </w:rPr>
        <w:t>完善基本养老服务补贴制度。健全80岁以上老年人高龄津贴制度，探索建立特殊困难老年人养老服务补贴、护理补贴制度。强化与残疾人“两项补贴”、社会救助等政策的衔接。健全动态调整机制，完善补贴方式方法，提高补贴标准精准度和有效性。</w:t>
      </w:r>
    </w:p>
    <w:p>
      <w:pPr>
        <w:ind w:firstLine="640"/>
      </w:pPr>
      <w:r>
        <w:rPr>
          <w:rFonts w:hint="eastAsia" w:ascii="仿宋_GB2312" w:hAnsi="仿宋_GB2312"/>
        </w:rPr>
        <w:t>健全城乡特困老年人供养服务制度。对符合特困供养条件的老年人实现“应保尽保、应养尽养”</w:t>
      </w:r>
      <w:r>
        <w:rPr>
          <w:rFonts w:ascii="仿宋_GB2312" w:hAnsi="仿宋_GB2312"/>
        </w:rPr>
        <w:t>。</w:t>
      </w:r>
      <w:r>
        <w:rPr>
          <w:rFonts w:hint="eastAsia"/>
        </w:rPr>
        <w:t>通过政府购买服务等方式加强分散供养特困人员的委托照料服务与社区居家养老、扶残助残等服务的衔接。</w:t>
      </w:r>
      <w:r>
        <w:rPr>
          <w:rFonts w:hint="eastAsia" w:ascii="仿宋_GB2312" w:hAnsi="仿宋_GB2312"/>
        </w:rPr>
        <w:t>深化特殊老年人群体关爱服务体系，健全定期巡访居家高龄、独居、不能自理、农村留守等特殊困难老年人工作机制。</w:t>
      </w:r>
    </w:p>
    <w:p>
      <w:pPr>
        <w:ind w:firstLine="640"/>
      </w:pPr>
      <w:r>
        <w:rPr>
          <w:rFonts w:hint="eastAsia"/>
        </w:rPr>
        <w:t>探索建立多层次长期护理保障制度。探索形成符合鹰城实际的长期护理保险制度。鼓励商业保险公司在我市开展长期护理商业补充保险业务。逐步构建由长期护理保险、社会救助、社会福利、慈善事业、商业保险组成的多层次长期照护保障体系，保障不同层面照护需求。</w:t>
      </w:r>
    </w:p>
    <w:p>
      <w:pPr>
        <w:ind w:firstLine="640"/>
        <w:rPr>
          <w:rFonts w:hint="eastAsia" w:ascii="仿宋_GB2312" w:hAnsi="仿宋_GB2312"/>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9"/>
              <w:keepNext/>
              <w:ind w:firstLine="0" w:firstLineChars="0"/>
              <w:jc w:val="center"/>
              <w:rPr>
                <w:rFonts w:ascii="仿宋" w:hAnsi="仿宋" w:eastAsia="仿宋"/>
                <w:b/>
                <w:sz w:val="32"/>
                <w:szCs w:val="32"/>
              </w:rPr>
            </w:pPr>
            <w:r>
              <w:rPr>
                <w:rFonts w:hint="eastAsia" w:ascii="仿宋" w:hAnsi="仿宋" w:eastAsia="仿宋"/>
                <w:b/>
                <w:bCs/>
                <w:sz w:val="32"/>
                <w:szCs w:val="32"/>
              </w:rPr>
              <w:t>专栏4 政府购买居家养老服务工程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500" w:lineRule="exact"/>
              <w:ind w:firstLine="560"/>
              <w:rPr>
                <w:rFonts w:ascii="仿宋" w:hAnsi="仿宋"/>
                <w:sz w:val="28"/>
                <w:szCs w:val="28"/>
              </w:rPr>
            </w:pPr>
            <w:r>
              <w:rPr>
                <w:rFonts w:hint="eastAsia" w:ascii="仿宋" w:hAnsi="仿宋"/>
                <w:sz w:val="28"/>
                <w:szCs w:val="28"/>
              </w:rPr>
              <w:t>完善政府购买居家养老服务的相关政策，明确政府购买居家养老服务项目清单。“十四五”期间，政府购买居家养老服务制度基本建立。全面开展政府购买居家养老服务，逐步扩大经济困难老年人政府购买服务覆盖面。</w:t>
            </w:r>
          </w:p>
        </w:tc>
      </w:tr>
    </w:tbl>
    <w:p>
      <w:pPr>
        <w:pStyle w:val="3"/>
        <w:tabs>
          <w:tab w:val="left" w:pos="2310"/>
        </w:tabs>
        <w:ind w:firstLine="643"/>
      </w:pPr>
      <w:bookmarkStart w:id="34" w:name="_Toc107308237"/>
      <w:r>
        <w:rPr>
          <w:rFonts w:hint="eastAsia"/>
        </w:rPr>
        <w:t>（二）大力发展鹰城康养产业</w:t>
      </w:r>
      <w:bookmarkEnd w:id="34"/>
    </w:p>
    <w:p>
      <w:pPr>
        <w:pStyle w:val="4"/>
        <w:ind w:firstLine="643"/>
      </w:pPr>
      <w:bookmarkStart w:id="35" w:name="_Toc107308238"/>
      <w:bookmarkStart w:id="36" w:name="_Hlk100670586"/>
      <w:r>
        <w:t>1.</w:t>
      </w:r>
      <w:r>
        <w:rPr>
          <w:rFonts w:hint="eastAsia"/>
        </w:rPr>
        <w:t>全面加强老年健康服务体系</w:t>
      </w:r>
      <w:bookmarkEnd w:id="35"/>
    </w:p>
    <w:p>
      <w:pPr>
        <w:ind w:firstLine="643"/>
        <w:rPr>
          <w:b/>
          <w:bCs/>
        </w:rPr>
      </w:pPr>
      <w:r>
        <w:rPr>
          <w:rFonts w:hint="eastAsia"/>
          <w:b/>
          <w:bCs/>
        </w:rPr>
        <w:t>加强老年健康服务机构建设。</w:t>
      </w:r>
      <w:r>
        <w:rPr>
          <w:rFonts w:hint="eastAsia"/>
        </w:rPr>
        <w:t>推进二级以上综合医院、中医医院开设老年医学科、康复科或治未病科。加快建设老年友善医疗机构。引导一批基层医疗卫生机构转型为老年医院、康复医院、护理院等接续性医疗机构。鼓励综合医院、中医医院、医养结合机构、民营医疗机构、社区卫生服务中心、乡镇卫生院等结合自身实际，开设安宁疗护病区或床位。加大老年病医院建设力度。</w:t>
      </w:r>
    </w:p>
    <w:p>
      <w:pPr>
        <w:ind w:firstLine="643"/>
      </w:pPr>
      <w:r>
        <w:rPr>
          <w:rFonts w:hint="eastAsia"/>
          <w:b/>
          <w:bCs/>
        </w:rPr>
        <w:t>深入推进医养结合服务。</w:t>
      </w:r>
      <w:r>
        <w:rPr>
          <w:rFonts w:hint="eastAsia"/>
        </w:rPr>
        <w:t>支持100张床位以上的养老机构配备医务室、护理站。2025年底，所有养老机构能够以不同形式为入住老年人提供医疗卫生服务，基本适应老年人健康养老服务需求。推动社区养老服务设施与社区卫生服务站、护理站或其他医疗设施邻近设置。有效利用社区卫生服务机构、乡镇卫生院等基层医疗资源，重点为失能老年人提供集中或居家医养结合服务。</w:t>
      </w:r>
      <w:bookmarkStart w:id="37" w:name="_Hlk105717768"/>
      <w:r>
        <w:rPr>
          <w:rFonts w:hint="eastAsia"/>
        </w:rPr>
        <w:t>持续推进医养结合机构能力提升</w:t>
      </w:r>
      <w:bookmarkEnd w:id="37"/>
      <w:r>
        <w:rPr>
          <w:rFonts w:hint="eastAsia"/>
        </w:rPr>
        <w:t>。加大医务人员从事医养结合服务支持力度。</w:t>
      </w:r>
    </w:p>
    <w:p>
      <w:pPr>
        <w:ind w:firstLine="643"/>
      </w:pPr>
      <w:r>
        <w:rPr>
          <w:rFonts w:hint="eastAsia"/>
          <w:b/>
          <w:bCs/>
        </w:rPr>
        <w:t>提高老年健康服务和管理水平。</w:t>
      </w:r>
      <w:r>
        <w:rPr>
          <w:rFonts w:hint="eastAsia"/>
        </w:rPr>
        <w:t>加强老年健康知识宣传和教育。加强老年人群重点慢性病的早期筛查、干预及分类指导，实施老年人健康促进、营养改善行动，逐步提高老年人群整体健康水平。强化老年人传染病防控。完善家庭医生签约服务，进一步明确、细化家庭医生签约服务项目和内容。每年为65周岁以上老年人提供一次健康管理服务，开展能力评估、体格检查、健康教育指导。广泛开展老年心理关爱行动。</w:t>
      </w:r>
    </w:p>
    <w:bookmarkEnd w:id="36"/>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9"/>
              <w:ind w:firstLine="0" w:firstLineChars="0"/>
              <w:jc w:val="center"/>
              <w:rPr>
                <w:rFonts w:ascii="仿宋" w:hAnsi="仿宋" w:eastAsia="仿宋"/>
                <w:b/>
                <w:sz w:val="28"/>
                <w:szCs w:val="28"/>
              </w:rPr>
            </w:pPr>
            <w:bookmarkStart w:id="38" w:name="_Hlk73064168"/>
            <w:r>
              <w:rPr>
                <w:rFonts w:hint="eastAsia" w:ascii="仿宋" w:hAnsi="仿宋" w:eastAsia="仿宋"/>
                <w:b/>
                <w:sz w:val="32"/>
                <w:szCs w:val="32"/>
              </w:rPr>
              <w:t>专栏5 老年健康服务体系建设工程</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spacing w:line="460" w:lineRule="exact"/>
              <w:ind w:firstLine="560"/>
              <w:jc w:val="left"/>
              <w:rPr>
                <w:sz w:val="28"/>
                <w:szCs w:val="28"/>
              </w:rPr>
            </w:pPr>
            <w:r>
              <w:rPr>
                <w:rFonts w:hint="eastAsia"/>
                <w:sz w:val="28"/>
                <w:szCs w:val="28"/>
              </w:rPr>
              <w:t>1</w:t>
            </w:r>
            <w:r>
              <w:rPr>
                <w:sz w:val="28"/>
                <w:szCs w:val="28"/>
              </w:rPr>
              <w:t>.</w:t>
            </w:r>
            <w:r>
              <w:rPr>
                <w:rFonts w:hint="eastAsia"/>
                <w:sz w:val="28"/>
                <w:szCs w:val="28"/>
              </w:rPr>
              <w:t>老年健康服务机构建设项目。新建或改扩建一批老年病医院、康复医院、护理院等接续性医疗机构。推进市老年病医院（中医院）等项目建设。</w:t>
            </w:r>
          </w:p>
          <w:p>
            <w:pPr>
              <w:widowControl/>
              <w:spacing w:line="460" w:lineRule="exact"/>
              <w:ind w:firstLine="560"/>
              <w:jc w:val="left"/>
              <w:rPr>
                <w:sz w:val="28"/>
                <w:szCs w:val="28"/>
              </w:rPr>
            </w:pPr>
            <w:r>
              <w:rPr>
                <w:rFonts w:hint="eastAsia"/>
                <w:sz w:val="28"/>
                <w:szCs w:val="28"/>
              </w:rPr>
              <w:t>2</w:t>
            </w:r>
            <w:r>
              <w:rPr>
                <w:sz w:val="28"/>
                <w:szCs w:val="28"/>
              </w:rPr>
              <w:t>.</w:t>
            </w:r>
            <w:r>
              <w:rPr>
                <w:rFonts w:hint="eastAsia"/>
                <w:sz w:val="28"/>
                <w:szCs w:val="28"/>
              </w:rPr>
              <w:t>医养结合服务设施建设项目。新建一批医养结合机构。依托社区卫生服务机构、乡镇卫生院或社区养老机构、敬老院，改扩建一批社区（乡镇）医养结合服务设施；加强城区新建社区卫生服务机构内部社区医养结合服务设施建设。</w:t>
            </w:r>
          </w:p>
        </w:tc>
      </w:tr>
    </w:tbl>
    <w:p>
      <w:pPr>
        <w:pStyle w:val="4"/>
        <w:ind w:firstLine="643"/>
      </w:pPr>
      <w:bookmarkStart w:id="39" w:name="_Toc107308239"/>
      <w:r>
        <w:rPr>
          <w:rFonts w:hint="eastAsia"/>
        </w:rPr>
        <w:t>2</w:t>
      </w:r>
      <w:r>
        <w:t>.</w:t>
      </w:r>
      <w:r>
        <w:rPr>
          <w:rFonts w:hint="eastAsia"/>
        </w:rPr>
        <w:t>构建五大特色健康养生产业</w:t>
      </w:r>
      <w:bookmarkEnd w:id="39"/>
    </w:p>
    <w:p>
      <w:pPr>
        <w:ind w:firstLine="643"/>
      </w:pPr>
      <w:r>
        <w:rPr>
          <w:rFonts w:hint="eastAsia"/>
          <w:b/>
          <w:bCs/>
        </w:rPr>
        <w:t>提升发展温泉</w:t>
      </w:r>
      <w:bookmarkStart w:id="40" w:name="_Hlk101126048"/>
      <w:r>
        <w:rPr>
          <w:rFonts w:hint="eastAsia"/>
          <w:b/>
          <w:bCs/>
        </w:rPr>
        <w:t>康养。</w:t>
      </w:r>
      <w:r>
        <w:rPr>
          <w:rFonts w:hint="eastAsia"/>
        </w:rPr>
        <w:t>依托汝州、鲁山、郏县等地温泉资源，推动汝州温泉镇、鲁山赵村镇、下汤镇、让河乡、郏县冢头镇、堂街镇等温泉资源富集区建设，建成一批集休闲度假、特色医疗、旅居养生于一体的温泉康养小镇、温泉养生基地。</w:t>
      </w:r>
      <w:bookmarkEnd w:id="40"/>
    </w:p>
    <w:p>
      <w:pPr>
        <w:ind w:firstLine="643"/>
      </w:pPr>
      <w:r>
        <w:rPr>
          <w:rFonts w:hint="eastAsia"/>
          <w:b/>
          <w:bCs/>
        </w:rPr>
        <w:t>优化发展森林康养。</w:t>
      </w:r>
      <w:r>
        <w:rPr>
          <w:rFonts w:hint="eastAsia"/>
        </w:rPr>
        <w:t>结合我市省级森林城市创建工作，推进森林度假、运动、养生、养老等多业态发展。支持森林康养基础设施建设。丰富森林康养产品。推动已有森林康养基地积极发展森林浴、森林食疗、药疗等服务项目。</w:t>
      </w:r>
    </w:p>
    <w:p>
      <w:pPr>
        <w:ind w:firstLine="643"/>
      </w:pPr>
      <w:r>
        <w:rPr>
          <w:rFonts w:hint="eastAsia"/>
          <w:b/>
          <w:bCs/>
        </w:rPr>
        <w:t>持续发展中医康养。</w:t>
      </w:r>
      <w:bookmarkStart w:id="41" w:name="_Hlk101126262"/>
      <w:r>
        <w:rPr>
          <w:rFonts w:hint="eastAsia"/>
        </w:rPr>
        <w:t>深入挖掘梳理本地中医资源，打造一批中医药健康养生养老示范区（基地）。传播中医药文化。支持举办高层次中医药健康旅游展览、会议和论坛，组建“一带一路城市”中医药健康旅游联盟，加强对外合作交流，树立我市中医药健康养生品牌形象。</w:t>
      </w:r>
    </w:p>
    <w:p>
      <w:pPr>
        <w:ind w:firstLine="643"/>
      </w:pPr>
      <w:r>
        <w:rPr>
          <w:rFonts w:hint="eastAsia"/>
          <w:b/>
          <w:bCs/>
        </w:rPr>
        <w:t>培育发展食疗康养。</w:t>
      </w:r>
      <w:r>
        <w:rPr>
          <w:rFonts w:hint="eastAsia"/>
        </w:rPr>
        <w:t>积极开展孟诜食疗文化等专项研究，丰富“中国养生文化发源地”内涵。做强食疗养生产业。发展健康食材种植业。统筹整合乡村振兴、农业、林业、科技、土地等领域有关资金和相关政策，打造一批规范化、标准化、科技化的食材种植、繁育基地，实现种植、加工、观光体验一体化。</w:t>
      </w:r>
    </w:p>
    <w:p>
      <w:pPr>
        <w:ind w:firstLine="640"/>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pStyle w:val="9"/>
              <w:ind w:firstLine="0" w:firstLineChars="0"/>
              <w:jc w:val="center"/>
              <w:rPr>
                <w:rFonts w:ascii="仿宋" w:hAnsi="仿宋" w:eastAsia="仿宋"/>
                <w:b/>
                <w:sz w:val="28"/>
                <w:szCs w:val="28"/>
              </w:rPr>
            </w:pPr>
            <w:r>
              <w:rPr>
                <w:rFonts w:hint="eastAsia" w:ascii="仿宋" w:hAnsi="仿宋" w:eastAsia="仿宋"/>
                <w:b/>
                <w:sz w:val="32"/>
                <w:szCs w:val="32"/>
              </w:rPr>
              <w:t>专栏6 全龄健康养生服务体系建设工程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widowControl/>
              <w:spacing w:line="460" w:lineRule="exact"/>
              <w:ind w:firstLine="560"/>
              <w:jc w:val="left"/>
              <w:rPr>
                <w:sz w:val="28"/>
                <w:szCs w:val="28"/>
              </w:rPr>
            </w:pPr>
            <w:r>
              <w:rPr>
                <w:rFonts w:hint="eastAsia"/>
                <w:sz w:val="28"/>
                <w:szCs w:val="28"/>
              </w:rPr>
              <w:t>1</w:t>
            </w:r>
            <w:r>
              <w:rPr>
                <w:sz w:val="28"/>
                <w:szCs w:val="28"/>
              </w:rPr>
              <w:t>.</w:t>
            </w:r>
            <w:r>
              <w:rPr>
                <w:rFonts w:hint="eastAsia"/>
                <w:sz w:val="28"/>
                <w:szCs w:val="28"/>
              </w:rPr>
              <w:t>建设一批康养小镇。根据各地区位、文化、交通、生态等特点，打造以长寿文化、生态旅居、医养结合、乡村养生为主题的多业态康养小镇（详见附件四）。</w:t>
            </w:r>
          </w:p>
          <w:p>
            <w:pPr>
              <w:widowControl/>
              <w:spacing w:line="460" w:lineRule="exact"/>
              <w:ind w:firstLine="560"/>
              <w:jc w:val="left"/>
              <w:rPr>
                <w:sz w:val="28"/>
                <w:szCs w:val="28"/>
              </w:rPr>
            </w:pPr>
            <w:r>
              <w:rPr>
                <w:rFonts w:hint="eastAsia"/>
                <w:sz w:val="28"/>
                <w:szCs w:val="28"/>
              </w:rPr>
              <w:t>2</w:t>
            </w:r>
            <w:r>
              <w:rPr>
                <w:sz w:val="28"/>
                <w:szCs w:val="28"/>
              </w:rPr>
              <w:t>.</w:t>
            </w:r>
            <w:r>
              <w:rPr>
                <w:rFonts w:hint="eastAsia"/>
                <w:sz w:val="28"/>
                <w:szCs w:val="28"/>
              </w:rPr>
              <w:t>建设一批康养基地。依托我市中医药种植、岩盐、森林、温泉等康养资源，着力打一批康养基地（详见附件四）。</w:t>
            </w:r>
          </w:p>
          <w:p>
            <w:pPr>
              <w:widowControl/>
              <w:spacing w:line="460" w:lineRule="exact"/>
              <w:ind w:firstLine="560"/>
              <w:jc w:val="left"/>
              <w:rPr>
                <w:sz w:val="28"/>
                <w:szCs w:val="28"/>
              </w:rPr>
            </w:pPr>
            <w:r>
              <w:rPr>
                <w:sz w:val="28"/>
                <w:szCs w:val="28"/>
              </w:rPr>
              <w:t>3.</w:t>
            </w:r>
            <w:r>
              <w:rPr>
                <w:rFonts w:hint="eastAsia"/>
                <w:sz w:val="28"/>
                <w:szCs w:val="28"/>
              </w:rPr>
              <w:t>培育一批康养社区。依托中心城市生态环境、文旅资源和医疗设施，结合地方特色康养资源，加快建设一批康养综合体。</w:t>
            </w:r>
          </w:p>
          <w:p>
            <w:pPr>
              <w:widowControl/>
              <w:spacing w:line="460" w:lineRule="exact"/>
              <w:ind w:firstLine="560"/>
              <w:jc w:val="left"/>
              <w:rPr>
                <w:sz w:val="28"/>
                <w:szCs w:val="28"/>
              </w:rPr>
            </w:pPr>
            <w:r>
              <w:rPr>
                <w:sz w:val="28"/>
                <w:szCs w:val="28"/>
              </w:rPr>
              <w:t>4.</w:t>
            </w:r>
            <w:r>
              <w:rPr>
                <w:rFonts w:hint="eastAsia"/>
                <w:sz w:val="28"/>
                <w:szCs w:val="28"/>
              </w:rPr>
              <w:t>发展一批康养村落。充分利用乡村振兴、新农村建设、自然村合并等政策，发挥古村落、农家院、农家乐、农家菜对康养产业的吸引力，实施乡村生态康养示范工程，打造一批集科技示范、农业创意、田园观光、休闲度假、民俗体验为一体的特色名村和乡村生态康养度假区，壮大乡村康养产业。</w:t>
            </w:r>
          </w:p>
        </w:tc>
      </w:tr>
      <w:bookmarkEnd w:id="41"/>
    </w:tbl>
    <w:p>
      <w:pPr>
        <w:pStyle w:val="4"/>
        <w:ind w:firstLine="643"/>
      </w:pPr>
      <w:bookmarkStart w:id="42" w:name="_Toc107308240"/>
      <w:r>
        <w:rPr>
          <w:rFonts w:hint="eastAsia"/>
        </w:rPr>
        <w:t>3</w:t>
      </w:r>
      <w:r>
        <w:t>.</w:t>
      </w:r>
      <w:r>
        <w:rPr>
          <w:rFonts w:hint="eastAsia"/>
        </w:rPr>
        <w:t>科学谋划合理布局康养产业</w:t>
      </w:r>
      <w:bookmarkEnd w:id="42"/>
    </w:p>
    <w:p>
      <w:pPr>
        <w:ind w:firstLine="640"/>
      </w:pPr>
      <w:r>
        <w:rPr>
          <w:rFonts w:hint="eastAsia"/>
        </w:rPr>
        <w:t>根据“多规合一”总体框架和市内“山、水、汤、曲、瓷、魔”等各类资源的分布，着力打造鹰城康养产业发展新格局。强化中心城区的核心引领作用，依托各地差异化的资源优势，谋划建设鲁山-汝州-郏县温泉康养、汝州-叶县-舞钢森林康养、汝州-鲁山-宝丰-郏县康养乡村、汝州-宝丰-郏县文化康养等康养度假集群，实现产业合理布局、城乡均衡发展的目的。建设一批具有产业基础和资源优势的康养小镇、康养社区、康养基地等康养载体，全面带动我市康养产业发展。</w:t>
      </w:r>
    </w:p>
    <w:p>
      <w:pPr>
        <w:pStyle w:val="3"/>
        <w:ind w:firstLine="643"/>
      </w:pPr>
      <w:bookmarkStart w:id="43" w:name="_Toc107308241"/>
      <w:r>
        <w:rPr>
          <w:rFonts w:hint="eastAsia"/>
        </w:rPr>
        <w:t>（三）推动鹰城产业融合发展</w:t>
      </w:r>
      <w:bookmarkEnd w:id="43"/>
    </w:p>
    <w:p>
      <w:pPr>
        <w:ind w:firstLine="640"/>
      </w:pPr>
      <w:r>
        <w:rPr>
          <w:rFonts w:hint="eastAsia"/>
        </w:rPr>
        <w:t>积极推动养老服务和康养产业与其他特色业态融合发展，逐步实现多业态发展新格局。</w:t>
      </w:r>
    </w:p>
    <w:p>
      <w:pPr>
        <w:pStyle w:val="4"/>
        <w:ind w:firstLine="643"/>
      </w:pPr>
      <w:bookmarkStart w:id="44" w:name="_Toc107308242"/>
      <w:r>
        <w:t>1.</w:t>
      </w:r>
      <w:r>
        <w:rPr>
          <w:rFonts w:hint="eastAsia"/>
        </w:rPr>
        <w:t>与旅游相融合</w:t>
      </w:r>
      <w:bookmarkEnd w:id="44"/>
    </w:p>
    <w:p>
      <w:pPr>
        <w:ind w:firstLine="640"/>
      </w:pPr>
      <w:r>
        <w:rPr>
          <w:rFonts w:hint="eastAsia"/>
        </w:rPr>
        <w:t>将康养旅游作为全域旅游的重要内容。依托尧山、二郎山、画眉谷、灯台架景区、郏县三苏园文物景区、尧山大峡谷漂流景区等景区，白龟湖、白鹭洲国家湿地公园等生态资源，推出康养旅游线路，探索打造生态康养体验项目组团。依托中原解放纪念馆、豫西革命纪念馆等红色资源，丰富红色旅游内涵。</w:t>
      </w:r>
    </w:p>
    <w:p>
      <w:pPr>
        <w:pStyle w:val="4"/>
        <w:ind w:firstLine="643"/>
      </w:pPr>
      <w:bookmarkStart w:id="45" w:name="_Toc107308243"/>
      <w:r>
        <w:t>2.</w:t>
      </w:r>
      <w:r>
        <w:rPr>
          <w:rFonts w:hint="eastAsia"/>
        </w:rPr>
        <w:t>与教育相融合</w:t>
      </w:r>
      <w:bookmarkEnd w:id="45"/>
    </w:p>
    <w:p>
      <w:pPr>
        <w:ind w:firstLine="640"/>
      </w:pPr>
      <w:r>
        <w:rPr>
          <w:rFonts w:hint="eastAsia"/>
        </w:rPr>
        <w:t>大力发展老年教育。实施老年大学行动计划，加快推进市老年活动中心（老年大学）建设。健全社区办学网络，鼓励社会力量兴办老年教育。到2025年，各县市区至少建有1所老年大学（学院），50%以上的乡镇（街道）建有老年学校，30%以上的行政村（社区）建有老年大学学习点。</w:t>
      </w:r>
    </w:p>
    <w:p>
      <w:pPr>
        <w:ind w:firstLine="640"/>
      </w:pPr>
      <w:r>
        <w:rPr>
          <w:rFonts w:hint="eastAsia"/>
        </w:rPr>
        <w:t>探索推动康养教育。依托</w:t>
      </w:r>
      <w:bookmarkStart w:id="46" w:name="_Hlk101532878"/>
      <w:r>
        <w:rPr>
          <w:rFonts w:hint="eastAsia"/>
        </w:rPr>
        <w:t>河南九峰山景区研学旅行基地、汝瓷文化园、祥龙大峡谷研学旅行基地、惒堂文化汝瓷研学体验基地、伴耕伴读自然教育基地、唐钧研学旅行基地、豫晨庄园、马头岭现代农业产业园等研学营地机构</w:t>
      </w:r>
      <w:bookmarkEnd w:id="46"/>
      <w:r>
        <w:rPr>
          <w:rFonts w:hint="eastAsia"/>
        </w:rPr>
        <w:t>，探索打造康养研学体验项目团组。鼓励健康养老养生服务机构与营地机构合作开发适宜康养人群的针对性课程。</w:t>
      </w:r>
    </w:p>
    <w:p>
      <w:pPr>
        <w:pStyle w:val="4"/>
        <w:ind w:firstLine="643"/>
      </w:pPr>
      <w:bookmarkStart w:id="47" w:name="_Toc107308244"/>
      <w:r>
        <w:rPr>
          <w:rFonts w:hint="eastAsia"/>
        </w:rPr>
        <w:t>3</w:t>
      </w:r>
      <w:r>
        <w:t>.</w:t>
      </w:r>
      <w:r>
        <w:rPr>
          <w:rFonts w:hint="eastAsia"/>
        </w:rPr>
        <w:t>与民宿相融合</w:t>
      </w:r>
      <w:bookmarkEnd w:id="47"/>
    </w:p>
    <w:p>
      <w:pPr>
        <w:ind w:firstLine="640"/>
      </w:pPr>
      <w:r>
        <w:t>依托</w:t>
      </w:r>
      <w:r>
        <w:rPr>
          <w:rFonts w:hint="eastAsia"/>
        </w:rPr>
        <w:t>鲁山县和汝州市等地民宿集群、郏县姚庄等民宿文化园</w:t>
      </w:r>
      <w:r>
        <w:t>、</w:t>
      </w:r>
      <w:r>
        <w:rPr>
          <w:rFonts w:hint="eastAsia"/>
        </w:rPr>
        <w:t>宝丰县观音堂林站余家客舍等特色民宿，因地制宜开展养老和康养服务。鼓励民宿进行适老化改造。挖掘农事体验、种植采摘体验康养等资源，打造“康养+民宿”示范村。</w:t>
      </w:r>
    </w:p>
    <w:p>
      <w:pPr>
        <w:pStyle w:val="4"/>
        <w:ind w:firstLine="643"/>
      </w:pPr>
      <w:bookmarkStart w:id="48" w:name="_Toc107308245"/>
      <w:r>
        <w:rPr>
          <w:rFonts w:hint="eastAsia"/>
        </w:rPr>
        <w:t>4</w:t>
      </w:r>
      <w:r>
        <w:t>.</w:t>
      </w:r>
      <w:r>
        <w:rPr>
          <w:rFonts w:hint="eastAsia"/>
        </w:rPr>
        <w:t>与体育相融合</w:t>
      </w:r>
      <w:bookmarkEnd w:id="48"/>
    </w:p>
    <w:p>
      <w:pPr>
        <w:ind w:firstLine="640"/>
      </w:pPr>
      <w:r>
        <w:rPr>
          <w:rFonts w:hint="eastAsia"/>
        </w:rPr>
        <w:t>探索打造康养运动项目团组。依托平顶山体育村等体育健身场馆、场所，引进平顶山学院体育学院等单位在运动康复领域的科研力量，合作建设市级体医融合中心项目。推广全民健身与全民康养深度融合。大力开发具有消费引领性的康养运动项目，积极推广覆盖全生命周期的运动健康服务，构建康养运动产业生态圈。举办一批高水平、高质量的康养运动主题赛事。积极拓展体育旅游新业态，加快建设一批体育旅游目的地，充分利用平顶山环城休闲健身线路、白鹭洲湿地公园等进行康养运动赛事集结，积极推广马拉松、自行车赛等精品赛事。</w:t>
      </w:r>
    </w:p>
    <w:p>
      <w:pPr>
        <w:pStyle w:val="4"/>
        <w:ind w:firstLine="643"/>
      </w:pPr>
      <w:bookmarkStart w:id="49" w:name="_Toc107308246"/>
      <w:r>
        <w:rPr>
          <w:rFonts w:hint="eastAsia"/>
        </w:rPr>
        <w:t>5</w:t>
      </w:r>
      <w:r>
        <w:t>.</w:t>
      </w:r>
      <w:r>
        <w:rPr>
          <w:rFonts w:hint="eastAsia"/>
        </w:rPr>
        <w:t>与文化相融合</w:t>
      </w:r>
      <w:bookmarkEnd w:id="49"/>
    </w:p>
    <w:p>
      <w:pPr>
        <w:ind w:firstLine="640"/>
      </w:pPr>
      <w:r>
        <w:rPr>
          <w:rFonts w:hint="eastAsia"/>
        </w:rPr>
        <w:t>将养老和康养服务与曲艺、陶瓷、酿酒、书法、酒窖、魔术等文化资源相融合。充分挖掘知青文化，整合广阔天地大有作为纪念馆及周边资源，为知青等细分人群提供专业服务。开发面向康养人群的文化创意体验服务，探索打造文化康养体验项目组团。</w:t>
      </w:r>
    </w:p>
    <w:p>
      <w:pPr>
        <w:pStyle w:val="3"/>
        <w:ind w:firstLine="643"/>
      </w:pPr>
      <w:bookmarkStart w:id="50" w:name="_Toc107308247"/>
      <w:r>
        <w:rPr>
          <w:rFonts w:hint="eastAsia"/>
        </w:rPr>
        <w:t>（四）引导拓展老龄用品发展</w:t>
      </w:r>
      <w:bookmarkEnd w:id="50"/>
    </w:p>
    <w:p>
      <w:pPr>
        <w:pStyle w:val="4"/>
        <w:ind w:firstLine="643"/>
      </w:pPr>
      <w:bookmarkStart w:id="51" w:name="_Toc107308248"/>
      <w:r>
        <w:rPr>
          <w:rFonts w:hint="eastAsia"/>
        </w:rPr>
        <w:t>1</w:t>
      </w:r>
      <w:r>
        <w:t>.</w:t>
      </w:r>
      <w:r>
        <w:rPr>
          <w:rFonts w:hint="eastAsia"/>
        </w:rPr>
        <w:t>加强老龄用品研发制造</w:t>
      </w:r>
      <w:bookmarkEnd w:id="51"/>
    </w:p>
    <w:p>
      <w:pPr>
        <w:ind w:firstLine="643"/>
      </w:pPr>
      <w:r>
        <w:rPr>
          <w:rFonts w:hint="eastAsia"/>
          <w:b/>
          <w:bCs/>
        </w:rPr>
        <w:t>研发生产生态健康食品。</w:t>
      </w:r>
      <w:r>
        <w:rPr>
          <w:rFonts w:hint="eastAsia"/>
        </w:rPr>
        <w:t>依托国家农业“两区”，大力发展富硒粮果、优质畜禽等特色农产品。引导发展绿色有机和健康养生食品，积极申请农产品地理标志认证，积极发展便携式健康美食和特色小吃。针对老年人的生理特点与老年人健康养生需求，大力发展作为日常膳食使用的各类易食食品、老年营养配方食品。</w:t>
      </w:r>
    </w:p>
    <w:p>
      <w:pPr>
        <w:ind w:firstLine="643"/>
      </w:pPr>
      <w:r>
        <w:rPr>
          <w:rFonts w:hint="eastAsia"/>
          <w:b/>
          <w:bCs/>
        </w:rPr>
        <w:t>丰富盐养产品。</w:t>
      </w:r>
      <w:r>
        <w:rPr>
          <w:rFonts w:hint="eastAsia"/>
        </w:rPr>
        <w:t>依托叶县产业集聚区，推出多类型、多功能主题盐浴产品。研发养颜美容盐、盐理疗产品等保健商品，提升产业附加值。加强对营养保健盐、果蔬洗涤盐等新品种的研发，形成高附加值的实用盐日化系列产品。</w:t>
      </w:r>
    </w:p>
    <w:p>
      <w:pPr>
        <w:ind w:firstLine="643"/>
      </w:pPr>
      <w:r>
        <w:rPr>
          <w:rFonts w:hint="eastAsia"/>
          <w:b/>
          <w:bCs/>
        </w:rPr>
        <w:t>丰富中医药养生保健用品供给。</w:t>
      </w:r>
      <w:r>
        <w:rPr>
          <w:rFonts w:hint="eastAsia"/>
        </w:rPr>
        <w:t>依托我市现有中药产业基础，发挥海王、润灵圣光、四知堂、畅神等一批重点企业的品牌效应，延伸道地中药材精深加工产业链。开展中药饮片炮制技术、中药保健品新工艺的研发攻关。加快开发功能食品，药酒、药妆等中药保健产品。</w:t>
      </w:r>
    </w:p>
    <w:p>
      <w:pPr>
        <w:ind w:firstLine="643"/>
      </w:pPr>
      <w:r>
        <w:rPr>
          <w:rFonts w:hint="eastAsia"/>
          <w:b/>
          <w:bCs/>
        </w:rPr>
        <w:t>支持研发生产康复辅助器具。</w:t>
      </w:r>
      <w:r>
        <w:rPr>
          <w:rFonts w:hint="eastAsia"/>
        </w:rPr>
        <w:t>依托郏县等产业集聚区，推动康复辅助产业集聚规模发展，着力培育发展康复治疗器械、健康可穿戴设备、健康监测设备、智能养老监护设备等系列产品。扶持骨干企业，打造一批富有鹰城特色的康复辅助器具和康复辅助材料知名品牌。促进创新研发，依托企业和大专院校，搭建研发平台。</w:t>
      </w:r>
    </w:p>
    <w:p>
      <w:pPr>
        <w:pStyle w:val="4"/>
        <w:ind w:firstLine="643"/>
      </w:pPr>
      <w:bookmarkStart w:id="52" w:name="_Toc107308249"/>
      <w:r>
        <w:t>2.</w:t>
      </w:r>
      <w:r>
        <w:rPr>
          <w:rFonts w:hint="eastAsia"/>
        </w:rPr>
        <w:t>拓展老龄用品销售租赁</w:t>
      </w:r>
      <w:bookmarkEnd w:id="52"/>
    </w:p>
    <w:p>
      <w:pPr>
        <w:ind w:firstLine="640"/>
      </w:pPr>
      <w:r>
        <w:rPr>
          <w:rFonts w:hint="eastAsia"/>
        </w:rPr>
        <w:t>通过线上线下联动，集中展示、销售老龄用品，形成品牌效应和消费热潮，繁荣消费市场。打造平顶山首家集展示、体验、购买、租赁于一体的老龄用品展示中心。选择交通便利，靠近老年人群聚集场所，建设系列老龄用品零售店。鼓励在养老服务设施内设立康复辅助器具配置服务（租赁）站点。为老年人提供高品质适老助老产品体验服务，努力让老人享受到体验式、个性化、适配性的新服务模式。开展“孝老爱老”购物节活动，鼓励电商和零售企业在重阳节期间开展购物活动。</w:t>
      </w:r>
    </w:p>
    <w:p>
      <w:pPr>
        <w:pStyle w:val="3"/>
        <w:ind w:firstLine="643"/>
      </w:pPr>
      <w:bookmarkStart w:id="53" w:name="_Toc107308250"/>
      <w:r>
        <w:rPr>
          <w:rFonts w:hint="eastAsia"/>
        </w:rPr>
        <w:t>（五）智慧赋能产业转型升级</w:t>
      </w:r>
      <w:bookmarkEnd w:id="53"/>
    </w:p>
    <w:p>
      <w:pPr>
        <w:pStyle w:val="4"/>
        <w:ind w:firstLine="643"/>
      </w:pPr>
      <w:bookmarkStart w:id="54" w:name="_Toc107308251"/>
      <w:r>
        <w:rPr>
          <w:rFonts w:hint="eastAsia"/>
        </w:rPr>
        <w:t>1</w:t>
      </w:r>
      <w:r>
        <w:t>.</w:t>
      </w:r>
      <w:r>
        <w:rPr>
          <w:rFonts w:hint="eastAsia"/>
        </w:rPr>
        <w:t>推进政府治理数字化</w:t>
      </w:r>
      <w:bookmarkEnd w:id="54"/>
    </w:p>
    <w:p>
      <w:pPr>
        <w:ind w:firstLine="640"/>
      </w:pPr>
      <w:r>
        <w:rPr>
          <w:rFonts w:hint="eastAsia"/>
        </w:rPr>
        <w:t>加强养老服务和康养产业信息资源规划、管理和应用，大力提升政府治理水平。加强养老服务和康养产业信息采集管理和标准制定，提高信息资源准确性、可靠性和可用性。提高信息资源利用水平，推进公共信息的资源共享。在保障数据安全的前提下，对涉及老年人口、保障、服务等基础信息分类分级互联共享，做好与户籍、医疗、社会保险、社会救助等信息资源的对接，推动数据资源向社会开放。</w:t>
      </w:r>
    </w:p>
    <w:p>
      <w:pPr>
        <w:pStyle w:val="4"/>
        <w:ind w:firstLine="643"/>
      </w:pPr>
      <w:bookmarkStart w:id="55" w:name="_Toc107308252"/>
      <w:r>
        <w:t>2.</w:t>
      </w:r>
      <w:r>
        <w:rPr>
          <w:rFonts w:hint="eastAsia"/>
        </w:rPr>
        <w:t>促进机构管理信息化</w:t>
      </w:r>
      <w:bookmarkEnd w:id="55"/>
    </w:p>
    <w:p>
      <w:pPr>
        <w:ind w:firstLine="640"/>
      </w:pPr>
      <w:r>
        <w:rPr>
          <w:rFonts w:hint="eastAsia"/>
        </w:rPr>
        <w:t>引导养老和康养服务机构开展信息化建设，提升信息化管理水平。实施市场主体数字化赋能专项行动，推动市场主体通过数字化网络化智能化赋能提高发展质量。试点建设一批示范企业，积极申报国家智慧健康养老应用试点。</w:t>
      </w:r>
    </w:p>
    <w:p>
      <w:pPr>
        <w:pStyle w:val="4"/>
        <w:ind w:firstLine="643"/>
      </w:pPr>
      <w:bookmarkStart w:id="56" w:name="_Toc107308253"/>
      <w:r>
        <w:rPr>
          <w:rFonts w:hint="eastAsia"/>
        </w:rPr>
        <w:t>3</w:t>
      </w:r>
      <w:r>
        <w:t>.</w:t>
      </w:r>
      <w:r>
        <w:rPr>
          <w:rFonts w:hint="eastAsia"/>
        </w:rPr>
        <w:t>增进智慧助老普及化</w:t>
      </w:r>
      <w:bookmarkEnd w:id="56"/>
    </w:p>
    <w:p>
      <w:pPr>
        <w:ind w:firstLine="640"/>
      </w:pPr>
      <w:r>
        <w:rPr>
          <w:rFonts w:hint="eastAsia"/>
        </w:rPr>
        <w:t>积极推进老年人平安行动。针对空巢、独居等特殊老年群体，充分发挥信息技术优势开展居家环境监测、身体状况监测、老年人状态监测、健康管理、主动关爱等服务。构建24小时呼叫应急服务体系。</w:t>
      </w:r>
    </w:p>
    <w:p>
      <w:pPr>
        <w:ind w:firstLine="640"/>
      </w:pPr>
      <w:r>
        <w:rPr>
          <w:rFonts w:hint="eastAsia"/>
        </w:rPr>
        <w:t>加快信息无障碍建设。开展老年人智能技术教育培训，通过体验学习、尝试应用、经验交流、互助帮扶等，引导老年人了解新事物、体验新科技。围绕老年人出行、就医、消费、文娱、办事等高频事项和服务场景，坚持传统服务方式与智能化服务并行，切实解决老年人在运用智能技术方面遇到的困难。实体办事大厅和社区综合服务设施配备引导人员，推广“一站式”服务改善老年人办事体验。</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9"/>
              <w:keepNext/>
              <w:ind w:firstLine="0" w:firstLineChars="0"/>
              <w:jc w:val="center"/>
              <w:rPr>
                <w:rFonts w:ascii="仿宋" w:hAnsi="仿宋" w:eastAsia="仿宋"/>
                <w:b/>
                <w:sz w:val="28"/>
                <w:szCs w:val="28"/>
              </w:rPr>
            </w:pPr>
            <w:bookmarkStart w:id="57" w:name="_Toc57647910"/>
            <w:bookmarkStart w:id="58" w:name="_Toc57497018"/>
            <w:bookmarkStart w:id="59" w:name="_Toc57604279"/>
            <w:bookmarkStart w:id="60" w:name="_Toc57494523"/>
            <w:r>
              <w:rPr>
                <w:rFonts w:hint="eastAsia" w:ascii="仿宋" w:hAnsi="仿宋" w:eastAsia="仿宋"/>
                <w:b/>
                <w:bCs/>
                <w:sz w:val="32"/>
                <w:szCs w:val="32"/>
              </w:rPr>
              <w:t>专栏7 智慧养老</w:t>
            </w:r>
            <w:bookmarkEnd w:id="57"/>
            <w:bookmarkEnd w:id="58"/>
            <w:bookmarkEnd w:id="59"/>
            <w:bookmarkEnd w:id="60"/>
            <w:r>
              <w:rPr>
                <w:rFonts w:hint="eastAsia" w:ascii="仿宋" w:hAnsi="仿宋" w:eastAsia="仿宋"/>
                <w:b/>
                <w:sz w:val="32"/>
                <w:szCs w:val="32"/>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spacing w:line="500" w:lineRule="exact"/>
              <w:ind w:firstLine="560"/>
              <w:jc w:val="left"/>
              <w:rPr>
                <w:sz w:val="28"/>
                <w:szCs w:val="28"/>
              </w:rPr>
            </w:pPr>
            <w:r>
              <w:rPr>
                <w:rFonts w:hint="eastAsia"/>
                <w:sz w:val="28"/>
                <w:szCs w:val="28"/>
              </w:rPr>
              <w:t>完善市级智慧养老服务平台，推进卫东区、宝丰县等智慧养老服务平台项目建设。推进智慧养老服务机构建设。到2025年，每个县（市、区）至少建设2家智慧养老机构，街道智慧养老服务中心比例达到50%。</w:t>
            </w:r>
          </w:p>
        </w:tc>
      </w:tr>
    </w:tbl>
    <w:p>
      <w:pPr>
        <w:pStyle w:val="3"/>
        <w:ind w:firstLine="643"/>
      </w:pPr>
      <w:bookmarkStart w:id="61" w:name="_Toc107308254"/>
      <w:r>
        <w:rPr>
          <w:rFonts w:hint="eastAsia"/>
        </w:rPr>
        <w:t>（六）优化市场环境扩大对外开放</w:t>
      </w:r>
      <w:bookmarkEnd w:id="61"/>
    </w:p>
    <w:p>
      <w:pPr>
        <w:pStyle w:val="4"/>
        <w:ind w:firstLine="643"/>
      </w:pPr>
      <w:bookmarkStart w:id="62" w:name="_Toc107308255"/>
      <w:r>
        <w:rPr>
          <w:rFonts w:hint="eastAsia"/>
        </w:rPr>
        <w:t>1.激发市场主体活力</w:t>
      </w:r>
      <w:bookmarkEnd w:id="62"/>
    </w:p>
    <w:p>
      <w:pPr>
        <w:ind w:firstLine="640"/>
      </w:pPr>
      <w:r>
        <w:rPr>
          <w:rFonts w:hint="eastAsia"/>
        </w:rPr>
        <w:t>认真落实《优化营商环境条例》等相关规定，为各类市场主体投资兴业营造稳定、公平、透明、可预期的良好环境。扶持培育一批信誉良好、服务优质的养老和康养产业龙头企业，鼓励其连锁化、规模化、品牌化发展。加快形成带动性强、产业链长、经济社会效益俱佳的养老服务和康养产业集群。</w:t>
      </w:r>
    </w:p>
    <w:p>
      <w:pPr>
        <w:pStyle w:val="4"/>
        <w:ind w:firstLine="643"/>
      </w:pPr>
      <w:bookmarkStart w:id="63" w:name="_Toc107308256"/>
      <w:r>
        <w:rPr>
          <w:rFonts w:hint="eastAsia"/>
        </w:rPr>
        <w:t>2</w:t>
      </w:r>
      <w:r>
        <w:t>.</w:t>
      </w:r>
      <w:r>
        <w:rPr>
          <w:rFonts w:hint="eastAsia"/>
        </w:rPr>
        <w:t>挖掘市内消费潜力</w:t>
      </w:r>
      <w:bookmarkEnd w:id="63"/>
    </w:p>
    <w:p>
      <w:pPr>
        <w:ind w:firstLine="643"/>
      </w:pPr>
      <w:r>
        <w:rPr>
          <w:rFonts w:hint="eastAsia"/>
          <w:b/>
          <w:bCs/>
        </w:rPr>
        <w:t>促进老年人和家庭消费。</w:t>
      </w:r>
      <w:r>
        <w:rPr>
          <w:rFonts w:hint="eastAsia"/>
        </w:rPr>
        <w:t>引导区域内老年人和家庭转变消费理念，推动老年人愿意买、买得到、买得起、放心买。倡导健康、科学的养老理念，通过适度补贴等方式，引导有条件的老年人购买适宜的专业用品和服务。</w:t>
      </w:r>
    </w:p>
    <w:p>
      <w:pPr>
        <w:ind w:firstLine="643"/>
      </w:pPr>
      <w:r>
        <w:rPr>
          <w:rFonts w:hint="eastAsia"/>
          <w:b/>
          <w:bCs/>
        </w:rPr>
        <w:t>提升老年人消费支付能力。</w:t>
      </w:r>
      <w:r>
        <w:rPr>
          <w:rFonts w:hint="eastAsia"/>
        </w:rPr>
        <w:t>逐步完善养老服务补贴等老年人社会福利政策。创造老有所为的就业环境，充分调动老年人参与就业创业的积极性，增加老年人劳动收入的渠道与收入水平。拓宽财产性收入渠道，探索通过土地、资本等要素使用权、收益权增加要素收入。探索通过发放养老服务消费券等方式，激发老年人养老服务消费积极性。</w:t>
      </w:r>
    </w:p>
    <w:p>
      <w:pPr>
        <w:pStyle w:val="4"/>
        <w:ind w:firstLine="643"/>
      </w:pPr>
      <w:bookmarkStart w:id="64" w:name="_Toc107308257"/>
      <w:r>
        <w:rPr>
          <w:rFonts w:hint="eastAsia"/>
        </w:rPr>
        <w:t>3</w:t>
      </w:r>
      <w:r>
        <w:t>.</w:t>
      </w:r>
      <w:r>
        <w:rPr>
          <w:rFonts w:hint="eastAsia"/>
        </w:rPr>
        <w:t>推进区域协同发展</w:t>
      </w:r>
      <w:bookmarkEnd w:id="64"/>
    </w:p>
    <w:p>
      <w:pPr>
        <w:ind w:firstLine="640"/>
      </w:pPr>
      <w:r>
        <w:rPr>
          <w:rFonts w:hint="eastAsia"/>
        </w:rPr>
        <w:t>积极融入中原城市群，紧密对接郑州都市圈、洛阳都市圈，与许昌、漯河、驻马店、南阳开展全方位一体化养老服务和康养产业合作与交流，着力构建相关行业联盟。深化与“京津冀”“长三角”“珠三角”“成渝”四大国家级经济圈的交流对接，引进一批专业化人才、团队和企业，吸引外地客群入鹰城开展温泉康养、乡村度假、体育健身、养生养老置业、商务会议会展等。广泛开展国际交流与合作，积极融入“一带一路”国际合作，鼓励国际知名品牌管理公司参与养老服务和康养产业管理。</w:t>
      </w:r>
    </w:p>
    <w:p>
      <w:pPr>
        <w:pStyle w:val="4"/>
        <w:ind w:firstLine="643"/>
      </w:pPr>
      <w:bookmarkStart w:id="65" w:name="_Toc107308258"/>
      <w:r>
        <w:rPr>
          <w:rFonts w:hint="eastAsia"/>
        </w:rPr>
        <w:t>4</w:t>
      </w:r>
      <w:r>
        <w:t>.</w:t>
      </w:r>
      <w:r>
        <w:rPr>
          <w:rFonts w:hint="eastAsia"/>
        </w:rPr>
        <w:t>开展多元市场营销</w:t>
      </w:r>
      <w:bookmarkEnd w:id="65"/>
    </w:p>
    <w:p>
      <w:pPr>
        <w:ind w:firstLine="643"/>
      </w:pPr>
      <w:r>
        <w:rPr>
          <w:rFonts w:hint="eastAsia"/>
          <w:b/>
          <w:bCs/>
        </w:rPr>
        <w:t>线上线下相结合。</w:t>
      </w:r>
      <w:r>
        <w:rPr>
          <w:rFonts w:hint="eastAsia"/>
        </w:rPr>
        <w:t>与传统主流媒体合作，围绕我市历史文化资源，打造专题节目，策划推出系列活动。开展新媒体营销。依托新媒体平台，制作短视频、软文和直播等网络传播内容，形成平顶山康养“网红”效应，全面推动平顶山康养网络推广。办好平顶山康养相关系列招商、文化旅游节、交流论坛等活动，提升社会认知度和综合效益。依托“百样温泉，花式健身”、“希望的田野”乡野赏花亲子、红色研学英雄平顶山、漂流戏水及健身登山、金秋城市文化休闲季等一系列季节性主题活动，大幅提升康养旅游营销效果。</w:t>
      </w:r>
    </w:p>
    <w:p>
      <w:pPr>
        <w:ind w:firstLine="643"/>
      </w:pPr>
      <w:r>
        <w:rPr>
          <w:rFonts w:hint="eastAsia"/>
          <w:b/>
          <w:bCs/>
        </w:rPr>
        <w:t>加强联合营销。</w:t>
      </w:r>
      <w:r>
        <w:rPr>
          <w:rFonts w:hint="eastAsia"/>
        </w:rPr>
        <w:t>依托豫中南七市旅游推广联盟，加强与各市的资源共享、活动联动，实现力量统筹、资源整合、多方联动机制。加强与“一带一路”沿线国家和地区、国际友好省州和城市、国家文化和旅游部驻外办事处、境内外航空公司及知名旅游企业等的合作，建立促销联盟，拓展境外客源市场。充分发挥资金、人才、推广渠道等联动效应，形成宣传推广合力。</w:t>
      </w:r>
    </w:p>
    <w:p>
      <w:pPr>
        <w:pStyle w:val="4"/>
        <w:ind w:firstLine="643"/>
      </w:pPr>
      <w:bookmarkStart w:id="66" w:name="_Toc107308259"/>
      <w:r>
        <w:rPr>
          <w:rFonts w:hint="eastAsia"/>
        </w:rPr>
        <w:t>5</w:t>
      </w:r>
      <w:r>
        <w:t>.</w:t>
      </w:r>
      <w:r>
        <w:rPr>
          <w:rFonts w:hint="eastAsia"/>
        </w:rPr>
        <w:t>加强消费权益保护</w:t>
      </w:r>
      <w:bookmarkEnd w:id="66"/>
    </w:p>
    <w:p>
      <w:pPr>
        <w:ind w:firstLine="640"/>
      </w:pPr>
      <w:r>
        <w:rPr>
          <w:rFonts w:hint="eastAsia"/>
        </w:rPr>
        <w:t>开展打击整治养老诈骗专项行动。重点惩处以养老和康养为名侵害老年人合法权益的各类诈骗犯罪。开展老年人防诈骗知识宣导和非法集资风险普及活动，增强老年人金融诈骗防范意识。结合侵害老年消费者权益的典型案例，集中发布老年消费警示、提示，揭示老年消费陷阱，提醒老年消费者增强风险防范和自我保护意识。畅通消费维权渠道，及时处理涉及老年人的消费投诉。</w:t>
      </w:r>
    </w:p>
    <w:p>
      <w:pPr>
        <w:pStyle w:val="3"/>
        <w:ind w:firstLine="643"/>
      </w:pPr>
      <w:bookmarkStart w:id="67" w:name="_Toc107308260"/>
      <w:r>
        <w:rPr>
          <w:rFonts w:hint="eastAsia"/>
        </w:rPr>
        <w:t>（七）健全发展要素支撑体系</w:t>
      </w:r>
      <w:bookmarkEnd w:id="67"/>
    </w:p>
    <w:p>
      <w:pPr>
        <w:pStyle w:val="4"/>
        <w:ind w:firstLine="643"/>
      </w:pPr>
      <w:bookmarkStart w:id="68" w:name="_Toc107308261"/>
      <w:r>
        <w:t>1.</w:t>
      </w:r>
      <w:r>
        <w:rPr>
          <w:rFonts w:hint="eastAsia"/>
        </w:rPr>
        <w:t>健全完善政策配套</w:t>
      </w:r>
      <w:bookmarkEnd w:id="68"/>
    </w:p>
    <w:p>
      <w:pPr>
        <w:ind w:firstLine="640"/>
      </w:pPr>
      <w:r>
        <w:rPr>
          <w:rFonts w:hint="eastAsia"/>
        </w:rPr>
        <w:t>积极推动养老服务和康养产业地方立法，为规划实施提供法律保障。切实落实国家和省市各项优惠政策，从财政支持、土地供给、税收优惠、技术创新等方面，加大扶持力度。发布扶持政策措施清单，建立健全工作激励机制。</w:t>
      </w:r>
    </w:p>
    <w:p>
      <w:pPr>
        <w:pStyle w:val="4"/>
        <w:ind w:firstLine="643"/>
      </w:pPr>
      <w:bookmarkStart w:id="69" w:name="_Toc107308262"/>
      <w:r>
        <w:t>2.</w:t>
      </w:r>
      <w:r>
        <w:rPr>
          <w:rFonts w:hint="eastAsia"/>
        </w:rPr>
        <w:t>加强资源保障支撑</w:t>
      </w:r>
      <w:bookmarkEnd w:id="69"/>
    </w:p>
    <w:p>
      <w:pPr>
        <w:ind w:firstLine="643"/>
      </w:pPr>
      <w:r>
        <w:rPr>
          <w:rFonts w:hint="eastAsia"/>
          <w:b/>
          <w:bCs/>
        </w:rPr>
        <w:t>用地保障。</w:t>
      </w:r>
      <w:r>
        <w:rPr>
          <w:rFonts w:hint="eastAsia"/>
          <w:color w:val="000000" w:themeColor="text1"/>
          <w14:textFill>
            <w14:solidFill>
              <w14:schemeClr w14:val="tx1"/>
            </w14:solidFill>
          </w14:textFill>
        </w:rPr>
        <w:t>吸纳民政部门为各级国土空间规划委员会成员单位。</w:t>
      </w:r>
      <w:r>
        <w:rPr>
          <w:rFonts w:hint="eastAsia"/>
        </w:rPr>
        <w:t>按常住人口统筹安排养老、康养服务在新一轮国土空间规划中的用地指标，优先保障重点项目用地。按照人均用地不少于0.1平方米的标准，编制平顶山市养老服务设施布局专项规划，做好与国土空间规划的衔接。</w:t>
      </w:r>
      <w:r>
        <w:rPr>
          <w:rFonts w:hint="eastAsia"/>
          <w:color w:val="000000" w:themeColor="text1"/>
          <w14:textFill>
            <w14:solidFill>
              <w14:schemeClr w14:val="tx1"/>
            </w14:solidFill>
          </w14:textFill>
        </w:rPr>
        <w:t>科学编制养老和康养服务设施年度建设供地计划，涉及新增建设用地的，在土地利用年度计划中予以优先保障。充分保障非营利性养老机构划拨用地需求。鼓励非营利性养老机构以租赁、出让等有偿使用方式取得国有建设用地使用权。支持政府以作价出资或入股方式提供土地，与社会资本共建养老服务项目。支持利用集体建设用地发展养老服务设施。</w:t>
      </w:r>
    </w:p>
    <w:p>
      <w:pPr>
        <w:ind w:firstLine="643"/>
      </w:pPr>
      <w:r>
        <w:rPr>
          <w:rFonts w:hint="eastAsia"/>
          <w:b/>
          <w:bCs/>
        </w:rPr>
        <w:t>设施保障。</w:t>
      </w:r>
      <w:r>
        <w:rPr>
          <w:rFonts w:hint="eastAsia"/>
        </w:rPr>
        <w:t>完善落实新建居住区配套建设养老设施“四同步”机制。开展城镇配套养老服务设施专项治理，全面清查2014年以来新建城区、新建居住区配套情况，确保新建居住小区按照每百户30平方米的标准配套建设社区养老服务用房，到2025年，新建居住(小)区配建养老服务设施达标率达到100%。在城镇老旧小区改造中，统筹推进配套养老服务设施建设，通过新建、改建、购置、置换、等方式予以补充完善，按照每百户20平方米的标准配套建设社区养老服务用房。鼓励利用商业、办公、工业、仓储、校舍存量房屋以及社区用房等存量闲置资源改建养老服务和康养设施。推动培训疗养机构转型为普惠型养老服务设施。建立绿色通道，积极协调解决培训疗养机构历史遗留问题。</w:t>
      </w:r>
    </w:p>
    <w:p>
      <w:pPr>
        <w:pStyle w:val="4"/>
        <w:ind w:firstLine="643"/>
      </w:pPr>
      <w:bookmarkStart w:id="70" w:name="_Toc107308263"/>
      <w:r>
        <w:t>3.</w:t>
      </w:r>
      <w:r>
        <w:rPr>
          <w:rFonts w:hint="eastAsia"/>
        </w:rPr>
        <w:t>加大资金保障力度</w:t>
      </w:r>
      <w:bookmarkEnd w:id="70"/>
    </w:p>
    <w:p>
      <w:pPr>
        <w:ind w:firstLine="643"/>
      </w:pPr>
      <w:r>
        <w:rPr>
          <w:rFonts w:hint="eastAsia"/>
          <w:b/>
          <w:bCs/>
        </w:rPr>
        <w:t>强化财税支持</w:t>
      </w:r>
      <w:r>
        <w:rPr>
          <w:rFonts w:hint="eastAsia"/>
        </w:rPr>
        <w:t>。加大财政资金支持力度，</w:t>
      </w:r>
      <w:r>
        <w:rPr>
          <w:rFonts w:hint="eastAsia"/>
          <w:szCs w:val="18"/>
        </w:rPr>
        <w:t>保障</w:t>
      </w:r>
      <w:r>
        <w:rPr>
          <w:rFonts w:hint="eastAsia"/>
        </w:rPr>
        <w:t>相关机构建设和运营补贴。建立工作协同机制，落实支持相关税费优惠政策。实施普惠养老专项行动，对符合条件的养老项目积极争取中央预算内投资支持。到</w:t>
      </w:r>
      <w:r>
        <w:t>2025</w:t>
      </w:r>
      <w:r>
        <w:rPr>
          <w:rFonts w:hint="eastAsia"/>
        </w:rPr>
        <w:t>年，要将不低于55%的福利彩票公益金用于支持发展养老服务。</w:t>
      </w:r>
    </w:p>
    <w:p>
      <w:pPr>
        <w:ind w:firstLine="643"/>
      </w:pPr>
      <w:r>
        <w:rPr>
          <w:rFonts w:hint="eastAsia"/>
          <w:b/>
          <w:bCs/>
        </w:rPr>
        <w:t>拓展投融资渠道。</w:t>
      </w:r>
      <w:r>
        <w:rPr>
          <w:rFonts w:hint="eastAsia"/>
        </w:rPr>
        <w:t>采用多种融资方式发展养老服务和康养产业。加大金融、债券市场对养老服务和康养产业的支持力度，加大对小型微型企业的信贷支持。各级民政部门主动谋划项目、帮助和指导养老服务机构规范项目要件，积极争取国家开发银行河南省分行等信贷资金支持。探索设立平顶山市养老和康养产业基金。</w:t>
      </w:r>
    </w:p>
    <w:p>
      <w:pPr>
        <w:pStyle w:val="4"/>
        <w:ind w:firstLine="643"/>
      </w:pPr>
      <w:bookmarkStart w:id="71" w:name="_Toc107308264"/>
      <w:r>
        <w:t>4.</w:t>
      </w:r>
      <w:r>
        <w:rPr>
          <w:rFonts w:hint="eastAsia"/>
        </w:rPr>
        <w:t>推进人才队伍建设</w:t>
      </w:r>
      <w:bookmarkEnd w:id="71"/>
    </w:p>
    <w:p>
      <w:pPr>
        <w:ind w:firstLine="640"/>
      </w:pPr>
      <w:r>
        <w:rPr>
          <w:rFonts w:hint="eastAsia"/>
        </w:rPr>
        <w:t>落实“人人持证、技能河南”素质提升工程，提高养老服务和康养产业人才上岗持证率。健全相关人才教育培训体系。引导平顶山学院、平顶山职业技术学院等大力发展养老服务和康养产业相关专业教育，培养医药、医疗、护理、康养、运动、健身等专业人才。深化产教融合，支持龙头企业参与校企合作。广泛开展养老护理员、养老院院长培训和老年社会工作者培训。引进聘用一批养老服务和康养产业领域的高层次人才。研究制定奖励标准，完善人才奖励制度。</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ind w:firstLine="643"/>
              <w:jc w:val="center"/>
              <w:rPr>
                <w:rFonts w:ascii="Cambria Math" w:hAnsi="Cambria Math" w:eastAsia="Cambria Math" w:cs="Cambria"/>
                <w:b/>
                <w:sz w:val="28"/>
                <w:szCs w:val="28"/>
              </w:rPr>
            </w:pPr>
            <w:bookmarkStart w:id="72" w:name="_Toc89660820"/>
            <w:r>
              <w:rPr>
                <w:rFonts w:hint="eastAsia" w:ascii="楷体_GB2312" w:hAnsi="楷体_GB2312" w:eastAsia="楷体_GB2312" w:cs="楷体_GB2312"/>
                <w:b/>
                <w:bCs/>
                <w:szCs w:val="32"/>
              </w:rPr>
              <w:t>专栏</w:t>
            </w:r>
            <w:bookmarkEnd w:id="72"/>
            <w:bookmarkStart w:id="73" w:name="_Hlk89833118"/>
            <w:r>
              <w:rPr>
                <w:rFonts w:hint="eastAsia" w:ascii="楷体_GB2312" w:hAnsi="楷体_GB2312" w:eastAsia="楷体_GB2312" w:cs="楷体_GB2312"/>
                <w:b/>
                <w:bCs/>
                <w:szCs w:val="32"/>
              </w:rPr>
              <w:t>8</w:t>
            </w:r>
            <w:r>
              <w:rPr>
                <w:rFonts w:hint="eastAsia" w:ascii="楷体_GB2312" w:hAnsi="楷体_GB2312" w:eastAsia="楷体_GB2312" w:cs="楷体_GB2312"/>
                <w:b/>
                <w:szCs w:val="32"/>
              </w:rPr>
              <w:t>养老和康养人才队伍建设工程</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00" w:lineRule="exact"/>
              <w:ind w:firstLine="560"/>
              <w:rPr>
                <w:rFonts w:ascii="仿宋" w:hAnsi="仿宋"/>
                <w:sz w:val="28"/>
                <w:szCs w:val="28"/>
              </w:rPr>
            </w:pPr>
            <w:r>
              <w:rPr>
                <w:rFonts w:hint="eastAsia" w:ascii="仿宋" w:hAnsi="仿宋"/>
                <w:sz w:val="28"/>
                <w:szCs w:val="28"/>
              </w:rPr>
              <w:t>1</w:t>
            </w:r>
            <w:r>
              <w:rPr>
                <w:rFonts w:ascii="仿宋" w:hAnsi="仿宋"/>
                <w:sz w:val="28"/>
                <w:szCs w:val="28"/>
              </w:rPr>
              <w:t>.</w:t>
            </w:r>
            <w:r>
              <w:rPr>
                <w:rFonts w:hint="eastAsia" w:ascii="仿宋" w:hAnsi="仿宋"/>
                <w:sz w:val="28"/>
                <w:szCs w:val="28"/>
              </w:rPr>
              <w:t>专业人才培训基地建设项目。依托市职教园、高等院校和规模化养老和康养服务机构，建设一批人才培训基地、实训基地。</w:t>
            </w:r>
          </w:p>
          <w:p>
            <w:pPr>
              <w:spacing w:line="500" w:lineRule="exact"/>
              <w:ind w:firstLine="560"/>
              <w:rPr>
                <w:rFonts w:ascii="仿宋" w:hAnsi="仿宋"/>
                <w:sz w:val="28"/>
                <w:szCs w:val="28"/>
              </w:rPr>
            </w:pPr>
            <w:r>
              <w:rPr>
                <w:rFonts w:hint="eastAsia" w:ascii="仿宋" w:hAnsi="仿宋"/>
                <w:sz w:val="28"/>
                <w:szCs w:val="28"/>
              </w:rPr>
              <w:t>2</w:t>
            </w:r>
            <w:r>
              <w:rPr>
                <w:rFonts w:ascii="仿宋" w:hAnsi="仿宋"/>
                <w:sz w:val="28"/>
                <w:szCs w:val="28"/>
              </w:rPr>
              <w:t>.</w:t>
            </w:r>
            <w:r>
              <w:rPr>
                <w:rFonts w:hint="eastAsia" w:ascii="仿宋" w:hAnsi="仿宋"/>
                <w:sz w:val="28"/>
                <w:szCs w:val="28"/>
              </w:rPr>
              <w:t>实施职业技能提升专项行动。到2025 年底，力争培训养老服务和康养产业人员等5</w:t>
            </w:r>
            <w:r>
              <w:rPr>
                <w:rFonts w:ascii="仿宋" w:hAnsi="仿宋"/>
                <w:sz w:val="28"/>
                <w:szCs w:val="28"/>
              </w:rPr>
              <w:t>000</w:t>
            </w:r>
            <w:r>
              <w:rPr>
                <w:rFonts w:hint="eastAsia" w:ascii="仿宋" w:hAnsi="仿宋"/>
                <w:sz w:val="28"/>
                <w:szCs w:val="28"/>
              </w:rPr>
              <w:t>人次，养老服务从业人员岗前培训率达到100%。</w:t>
            </w:r>
          </w:p>
          <w:p>
            <w:pPr>
              <w:spacing w:line="500" w:lineRule="exact"/>
              <w:ind w:firstLine="560"/>
              <w:rPr>
                <w:rFonts w:ascii="仿宋" w:hAnsi="仿宋"/>
                <w:sz w:val="28"/>
                <w:szCs w:val="28"/>
              </w:rPr>
            </w:pPr>
            <w:r>
              <w:rPr>
                <w:rFonts w:hint="eastAsia" w:ascii="仿宋" w:hAnsi="仿宋"/>
                <w:sz w:val="28"/>
                <w:szCs w:val="28"/>
              </w:rPr>
              <w:t>3</w:t>
            </w:r>
            <w:r>
              <w:rPr>
                <w:rFonts w:ascii="仿宋" w:hAnsi="仿宋"/>
                <w:sz w:val="28"/>
                <w:szCs w:val="28"/>
              </w:rPr>
              <w:t>.</w:t>
            </w:r>
            <w:r>
              <w:rPr>
                <w:rFonts w:hint="eastAsia" w:ascii="仿宋" w:hAnsi="仿宋"/>
                <w:sz w:val="28"/>
                <w:szCs w:val="28"/>
              </w:rPr>
              <w:t>开展养老护理员技能大赛。对获奖选手授予“技术能手”称号，并晋升相应职业技能等级。</w:t>
            </w:r>
          </w:p>
          <w:p>
            <w:pPr>
              <w:spacing w:line="500" w:lineRule="exact"/>
              <w:ind w:firstLine="560"/>
              <w:rPr>
                <w:rFonts w:ascii="仿宋" w:hAnsi="仿宋"/>
                <w:szCs w:val="28"/>
              </w:rPr>
            </w:pPr>
            <w:r>
              <w:rPr>
                <w:rFonts w:ascii="仿宋" w:hAnsi="仿宋"/>
                <w:sz w:val="28"/>
                <w:szCs w:val="28"/>
              </w:rPr>
              <w:t>4.</w:t>
            </w:r>
            <w:r>
              <w:rPr>
                <w:rFonts w:hint="eastAsia" w:ascii="仿宋" w:hAnsi="仿宋"/>
                <w:sz w:val="28"/>
                <w:szCs w:val="28"/>
              </w:rPr>
              <w:t>开展寻找“最美养老人”公益活动。在全市范围内的养老机构（含已备案的社区居家养老服务机构）深入挖掘优秀人物，开展系列宣传活动。表现突出者授予“最美养老院院长”“最美养老护理员”“最美养老抗疫先锋”等荣誉称号。</w:t>
            </w:r>
          </w:p>
        </w:tc>
      </w:tr>
    </w:tbl>
    <w:p>
      <w:pPr>
        <w:pStyle w:val="4"/>
        <w:ind w:firstLine="643"/>
      </w:pPr>
      <w:bookmarkStart w:id="74" w:name="_Toc107308265"/>
      <w:r>
        <w:t>5.</w:t>
      </w:r>
      <w:r>
        <w:rPr>
          <w:rFonts w:hint="eastAsia"/>
        </w:rPr>
        <w:t>建设老年友好环境</w:t>
      </w:r>
      <w:bookmarkEnd w:id="74"/>
    </w:p>
    <w:p>
      <w:pPr>
        <w:ind w:firstLine="640"/>
      </w:pPr>
      <w:bookmarkStart w:id="75" w:name="_Hlk100932613"/>
      <w:r>
        <w:rPr>
          <w:rFonts w:hint="eastAsia"/>
        </w:rPr>
        <w:t>大力推进无障碍环境建设，贯彻落实无障碍建设相关标准。强化养老和康养服务机构无障碍设施建设。加速推进老年友好型社区建设。加快交通、住宿、餐饮、医疗卫生、旅游景点等基础设施适老化改造。探索落实外埠老年人同等享受本地优待项目。</w:t>
      </w:r>
    </w:p>
    <w:bookmarkEnd w:id="75"/>
    <w:p>
      <w:pPr>
        <w:pStyle w:val="4"/>
        <w:ind w:firstLine="643"/>
      </w:pPr>
      <w:bookmarkStart w:id="76" w:name="_Toc107308266"/>
      <w:r>
        <w:t>6.</w:t>
      </w:r>
      <w:r>
        <w:rPr>
          <w:rFonts w:hint="eastAsia"/>
        </w:rPr>
        <w:t>完善综合监管体系</w:t>
      </w:r>
      <w:bookmarkEnd w:id="76"/>
    </w:p>
    <w:p>
      <w:pPr>
        <w:ind w:firstLine="640"/>
      </w:pPr>
      <w:r>
        <w:rPr>
          <w:rFonts w:hint="eastAsia"/>
        </w:rPr>
        <w:t>健全养老服务和康养产业协同监管机制。加大“互联网+监管”的应用，充分运用大数据等新技术手段，实现监管规范化、精准化、智能化。推进养老和康养服务社会信用体系建设。逐步建立信用分制度，对养老和康养服务机构信用状况、履约能力进行全面的判断和评估，供社会查询和参考。建立失信养老和康养服务机构“黑名单”制度，对存在严重失信行为的机构及人员实施联合惩戒。</w:t>
      </w:r>
    </w:p>
    <w:p>
      <w:pPr>
        <w:pStyle w:val="4"/>
        <w:ind w:firstLine="643"/>
      </w:pPr>
      <w:bookmarkStart w:id="77" w:name="_Toc107308267"/>
      <w:r>
        <w:t>7.</w:t>
      </w:r>
      <w:r>
        <w:rPr>
          <w:rFonts w:hint="eastAsia"/>
        </w:rPr>
        <w:t>建立完善行业标准</w:t>
      </w:r>
      <w:bookmarkEnd w:id="77"/>
    </w:p>
    <w:p>
      <w:pPr>
        <w:ind w:firstLine="640"/>
      </w:pPr>
      <w:r>
        <w:rPr>
          <w:rFonts w:hint="eastAsia"/>
        </w:rPr>
        <w:t>研究制定具有行业领先水平和影响力的平顶山市养老服务和康养产业标准体系。鼓励养老和康养服务机构制订企业标准，实施标准化管理。制定发布康养产业统计分类标准及核算方法，清晰界定康养产业统计指标和统计范围、统计口径及数据来源。探索开展康养产业统计相关工作。</w:t>
      </w:r>
    </w:p>
    <w:p>
      <w:pPr>
        <w:pStyle w:val="2"/>
      </w:pPr>
      <w:bookmarkStart w:id="78" w:name="_Toc107308268"/>
      <w:r>
        <w:t>四、实施保障</w:t>
      </w:r>
      <w:bookmarkEnd w:id="78"/>
    </w:p>
    <w:p>
      <w:pPr>
        <w:pStyle w:val="3"/>
        <w:ind w:firstLine="643"/>
      </w:pPr>
      <w:bookmarkStart w:id="79" w:name="_Toc107308269"/>
      <w:r>
        <w:t>（</w:t>
      </w:r>
      <w:r>
        <w:rPr>
          <w:rFonts w:hint="eastAsia"/>
        </w:rPr>
        <w:t>一</w:t>
      </w:r>
      <w:r>
        <w:t>）</w:t>
      </w:r>
      <w:r>
        <w:rPr>
          <w:rFonts w:hint="eastAsia"/>
        </w:rPr>
        <w:t>全面加强党的领导</w:t>
      </w:r>
      <w:bookmarkEnd w:id="79"/>
    </w:p>
    <w:p>
      <w:pPr>
        <w:ind w:firstLine="640"/>
      </w:pPr>
      <w:r>
        <w:rPr>
          <w:rFonts w:hint="eastAsia"/>
        </w:rPr>
        <w:t>充分发挥党总揽全局、协调各方的作用，把党的领导贯穿到规划实施的各领域和全过程。完善各级党委研究养老服务和康养产业发展战略、研究重大方针政策的工作体制，形成党委领导、政府主导、部门负责、社会参与的养老服务和康养产业工作机制。加强基层党组织建设，发挥基层党组织的战斗堡垒作用和党员的先锋模范作用。</w:t>
      </w:r>
    </w:p>
    <w:p>
      <w:pPr>
        <w:pStyle w:val="3"/>
        <w:ind w:firstLine="643"/>
      </w:pPr>
      <w:bookmarkStart w:id="80" w:name="_Toc107308270"/>
      <w:r>
        <w:t>（二）</w:t>
      </w:r>
      <w:r>
        <w:rPr>
          <w:rFonts w:hint="eastAsia"/>
        </w:rPr>
        <w:t>落实规划实施责任</w:t>
      </w:r>
      <w:bookmarkEnd w:id="80"/>
    </w:p>
    <w:p>
      <w:pPr>
        <w:ind w:firstLine="640"/>
      </w:pPr>
      <w:r>
        <w:rPr>
          <w:rFonts w:hint="eastAsia"/>
        </w:rPr>
        <w:t>积极推动养老服务和康养产业地方立法，为规划实施提供法律保障。充分发挥市、县（区）两级养老服务工作联席会议统筹协调作用。成立市养老服务体系和康养产业专家指导委员会，充分发挥专家学者的咨询和指导作用。推进成立相关行业协会，积极开展行业自律等工作。各部门要根据职责分工，制定涉及本部门的主要目标任务实施方案。各县（区）要从实际出发，因地制宜制定实施意见。</w:t>
      </w:r>
    </w:p>
    <w:p>
      <w:pPr>
        <w:pStyle w:val="3"/>
        <w:ind w:firstLine="643"/>
      </w:pPr>
      <w:bookmarkStart w:id="81" w:name="_Toc107308271"/>
      <w:r>
        <w:t>（三）加强实施监测评估</w:t>
      </w:r>
      <w:bookmarkEnd w:id="81"/>
    </w:p>
    <w:p>
      <w:pPr>
        <w:ind w:firstLine="640"/>
      </w:pPr>
      <w:r>
        <w:rPr>
          <w:rFonts w:hint="eastAsia"/>
        </w:rPr>
        <w:t>加强对规划实施情况的动态监测，及时研究解决规划实施中出现的新情况、新问题。采取自查、督查、社会第三方评估并举方式，定期开展评估检查。依据评估结果，对相关部门和县（区）予以激励或督促整改落实。</w:t>
      </w:r>
    </w:p>
    <w:p>
      <w:pPr>
        <w:pStyle w:val="3"/>
        <w:ind w:firstLine="643"/>
      </w:pPr>
      <w:bookmarkStart w:id="82" w:name="_Toc107308272"/>
      <w:r>
        <w:t>（</w:t>
      </w:r>
      <w:r>
        <w:rPr>
          <w:rFonts w:hint="eastAsia"/>
        </w:rPr>
        <w:t>四</w:t>
      </w:r>
      <w:r>
        <w:t>）</w:t>
      </w:r>
      <w:r>
        <w:rPr>
          <w:rFonts w:hint="eastAsia"/>
        </w:rPr>
        <w:t>营造良好发展氛围</w:t>
      </w:r>
      <w:bookmarkEnd w:id="82"/>
    </w:p>
    <w:p>
      <w:pPr>
        <w:ind w:firstLine="640"/>
      </w:pPr>
      <w:r>
        <w:rPr>
          <w:rFonts w:hint="eastAsia"/>
        </w:rPr>
        <w:t>积极开展多视角、多渠道、多形式养老服务和康养产业宣传工作，营造全社会共同关心、支持养老服务和康养产业的氛围。树立养老服务和康养产业工作中的示范典型。及时总结规划实施过程中的经验和教训，为全省乃至全国其他地区提供借鉴，进一步扩大我市养老服务和康养产业的影响力。</w:t>
      </w:r>
    </w:p>
    <w:p>
      <w:pPr>
        <w:ind w:firstLine="640"/>
        <w:sectPr>
          <w:footerReference r:id="rId13" w:type="default"/>
          <w:pgSz w:w="11906" w:h="16838"/>
          <w:pgMar w:top="1440" w:right="1800" w:bottom="1440" w:left="1800" w:header="851" w:footer="0" w:gutter="0"/>
          <w:cols w:space="720" w:num="1"/>
          <w:docGrid w:type="lines" w:linePitch="312" w:charSpace="0"/>
        </w:sectPr>
      </w:pPr>
    </w:p>
    <w:p>
      <w:pPr>
        <w:ind w:firstLine="640"/>
      </w:pPr>
    </w:p>
    <w:p>
      <w:pPr>
        <w:pStyle w:val="2"/>
      </w:pPr>
      <w:bookmarkStart w:id="83" w:name="_Toc107308273"/>
      <w:r>
        <w:rPr>
          <w:rFonts w:hint="eastAsia"/>
        </w:rPr>
        <w:t>五、附件</w:t>
      </w:r>
      <w:bookmarkEnd w:id="83"/>
    </w:p>
    <w:p>
      <w:pPr>
        <w:pStyle w:val="3"/>
        <w:ind w:firstLine="643"/>
      </w:pPr>
      <w:bookmarkStart w:id="84" w:name="_Toc107308274"/>
      <w:r>
        <w:rPr>
          <w:rFonts w:hint="eastAsia"/>
        </w:rPr>
        <w:t>（一）特困人员供养服务设施（敬老院）建设和改造项目</w:t>
      </w:r>
      <w:bookmarkEnd w:id="84"/>
    </w:p>
    <w:tbl>
      <w:tblPr>
        <w:tblStyle w:val="30"/>
        <w:tblW w:w="14056" w:type="dxa"/>
        <w:jc w:val="center"/>
        <w:tblLayout w:type="fixed"/>
        <w:tblCellMar>
          <w:top w:w="0" w:type="dxa"/>
          <w:left w:w="108" w:type="dxa"/>
          <w:bottom w:w="0" w:type="dxa"/>
          <w:right w:w="108" w:type="dxa"/>
        </w:tblCellMar>
      </w:tblPr>
      <w:tblGrid>
        <w:gridCol w:w="696"/>
        <w:gridCol w:w="2419"/>
        <w:gridCol w:w="1455"/>
        <w:gridCol w:w="1188"/>
        <w:gridCol w:w="1302"/>
        <w:gridCol w:w="2333"/>
        <w:gridCol w:w="1275"/>
        <w:gridCol w:w="936"/>
        <w:gridCol w:w="1025"/>
        <w:gridCol w:w="1427"/>
      </w:tblGrid>
      <w:tr>
        <w:tblPrEx>
          <w:tblCellMar>
            <w:top w:w="0" w:type="dxa"/>
            <w:left w:w="108" w:type="dxa"/>
            <w:bottom w:w="0" w:type="dxa"/>
            <w:right w:w="108" w:type="dxa"/>
          </w:tblCellMar>
        </w:tblPrEx>
        <w:trPr>
          <w:trHeight w:val="624" w:hRule="atLeast"/>
          <w:jc w:val="center"/>
        </w:trPr>
        <w:tc>
          <w:tcPr>
            <w:tcW w:w="696"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241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项目名称</w:t>
            </w:r>
          </w:p>
        </w:tc>
        <w:tc>
          <w:tcPr>
            <w:tcW w:w="145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项目类型</w:t>
            </w:r>
          </w:p>
        </w:tc>
        <w:tc>
          <w:tcPr>
            <w:tcW w:w="118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建设期限</w:t>
            </w:r>
          </w:p>
        </w:tc>
        <w:tc>
          <w:tcPr>
            <w:tcW w:w="130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建设地点</w:t>
            </w:r>
          </w:p>
        </w:tc>
        <w:tc>
          <w:tcPr>
            <w:tcW w:w="2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建设内容和规模</w:t>
            </w:r>
          </w:p>
        </w:tc>
        <w:tc>
          <w:tcPr>
            <w:tcW w:w="1275"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床位数（张）</w:t>
            </w:r>
          </w:p>
        </w:tc>
        <w:tc>
          <w:tcPr>
            <w:tcW w:w="93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总投资</w:t>
            </w:r>
          </w:p>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(万元)</w:t>
            </w:r>
          </w:p>
        </w:tc>
        <w:tc>
          <w:tcPr>
            <w:tcW w:w="1025"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申请中央预算内投资(万元)</w:t>
            </w:r>
          </w:p>
        </w:tc>
        <w:tc>
          <w:tcPr>
            <w:tcW w:w="1427"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组织实施单位</w:t>
            </w:r>
          </w:p>
        </w:tc>
      </w:tr>
      <w:tr>
        <w:tblPrEx>
          <w:tblCellMar>
            <w:top w:w="0" w:type="dxa"/>
            <w:left w:w="108" w:type="dxa"/>
            <w:bottom w:w="0" w:type="dxa"/>
            <w:right w:w="108" w:type="dxa"/>
          </w:tblCellMar>
        </w:tblPrEx>
        <w:trPr>
          <w:trHeight w:val="1661" w:hRule="atLeast"/>
          <w:jc w:val="center"/>
        </w:trPr>
        <w:tc>
          <w:tcPr>
            <w:tcW w:w="696"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1</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叶县廉村颐养敬老院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lang w:val="en-US" w:eastAsia="zh-CN"/>
              </w:rPr>
              <w:t xml:space="preserve"> </w:t>
            </w:r>
            <w:r>
              <w:rPr>
                <w:rFonts w:ascii="仿宋" w:hAnsi="仿宋" w:cs="宋体"/>
                <w:color w:val="000000"/>
                <w:kern w:val="0"/>
                <w:sz w:val="24"/>
              </w:rPr>
              <w:t>202</w:t>
            </w:r>
            <w:r>
              <w:rPr>
                <w:rFonts w:hint="eastAsia" w:ascii="仿宋" w:hAnsi="仿宋" w:cs="宋体"/>
                <w:color w:val="000000"/>
                <w:kern w:val="0"/>
                <w:sz w:val="24"/>
                <w:lang w:val="en-US" w:eastAsia="zh-CN"/>
              </w:rPr>
              <w:t>2</w:t>
            </w:r>
            <w:r>
              <w:rPr>
                <w:rFonts w:ascii="仿宋" w:hAnsi="仿宋" w:cs="宋体"/>
                <w:color w:val="000000"/>
                <w:kern w:val="0"/>
                <w:sz w:val="24"/>
              </w:rPr>
              <w:t>-2025</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叶县廉村镇</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本项目计划占地面积3.1亩，可提供床位94张。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94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800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800</w:t>
            </w:r>
          </w:p>
        </w:tc>
        <w:tc>
          <w:tcPr>
            <w:tcW w:w="1427"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叶县民政局</w:t>
            </w:r>
          </w:p>
        </w:tc>
      </w:tr>
      <w:tr>
        <w:tblPrEx>
          <w:tblCellMar>
            <w:top w:w="0" w:type="dxa"/>
            <w:left w:w="108" w:type="dxa"/>
            <w:bottom w:w="0" w:type="dxa"/>
            <w:right w:w="108" w:type="dxa"/>
          </w:tblCellMar>
        </w:tblPrEx>
        <w:trPr>
          <w:trHeight w:val="2304" w:hRule="atLeast"/>
          <w:jc w:val="center"/>
        </w:trPr>
        <w:tc>
          <w:tcPr>
            <w:tcW w:w="696"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2</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舞钢市乡镇（办）养老院升级改造项目</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改扩建</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仿宋" w:hAnsi="仿宋" w:eastAsia="仿宋" w:cs="宋体"/>
                <w:color w:val="000000"/>
                <w:kern w:val="0"/>
                <w:sz w:val="24"/>
                <w:lang w:val="en-US" w:eastAsia="zh-CN"/>
              </w:rPr>
            </w:pPr>
            <w:r>
              <w:rPr>
                <w:rFonts w:hint="eastAsia" w:ascii="仿宋" w:hAnsi="仿宋" w:cs="宋体"/>
                <w:color w:val="000000"/>
                <w:kern w:val="0"/>
                <w:sz w:val="24"/>
                <w:lang w:val="en-US" w:eastAsia="zh-CN"/>
              </w:rPr>
              <w:t>2021-2022</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舞钢市</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八台镇养老院、武功乡养老院、尚店镇养老院、杨庄乡养老院、尹集镇养老院、庙街乡养老院、铁山街道养老院、枣林镇养老院、垭口街道颐养康健中心及日间照料中心。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9386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5631</w:t>
            </w:r>
          </w:p>
        </w:tc>
        <w:tc>
          <w:tcPr>
            <w:tcW w:w="1427"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舞钢市民政局</w:t>
            </w:r>
          </w:p>
        </w:tc>
      </w:tr>
      <w:tr>
        <w:tblPrEx>
          <w:tblCellMar>
            <w:top w:w="0" w:type="dxa"/>
            <w:left w:w="108" w:type="dxa"/>
            <w:bottom w:w="0" w:type="dxa"/>
            <w:right w:w="108" w:type="dxa"/>
          </w:tblCellMar>
        </w:tblPrEx>
        <w:trPr>
          <w:trHeight w:val="576" w:hRule="atLeast"/>
          <w:jc w:val="center"/>
        </w:trPr>
        <w:tc>
          <w:tcPr>
            <w:tcW w:w="696"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3</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舞钢市8家敬老院提升工程</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改扩建</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lang w:val="en-US" w:eastAsia="zh-CN"/>
              </w:rPr>
              <w:t xml:space="preserve"> </w:t>
            </w:r>
            <w:r>
              <w:rPr>
                <w:rFonts w:ascii="仿宋" w:hAnsi="仿宋" w:cs="宋体"/>
                <w:color w:val="000000"/>
                <w:kern w:val="0"/>
                <w:sz w:val="24"/>
              </w:rPr>
              <w:t>2021-2022</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舞钢市</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项目建筑面积19841㎡，床位628张</w:t>
            </w:r>
            <w:r>
              <w:rPr>
                <w:rFonts w:hint="eastAsia" w:ascii="仿宋" w:hAnsi="仿宋" w:cs="宋体"/>
                <w:color w:val="000000"/>
                <w:kern w:val="0"/>
                <w:sz w:val="24"/>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628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1</w:t>
            </w:r>
            <w:r>
              <w:rPr>
                <w:rFonts w:ascii="仿宋" w:hAnsi="仿宋" w:cs="宋体"/>
                <w:color w:val="000000"/>
                <w:kern w:val="0"/>
                <w:sz w:val="24"/>
              </w:rPr>
              <w:t>530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kern w:val="0"/>
                <w:sz w:val="24"/>
              </w:rPr>
            </w:pPr>
            <w:r>
              <w:rPr>
                <w:rFonts w:hint="eastAsia" w:ascii="仿宋" w:hAnsi="仿宋"/>
                <w:kern w:val="0"/>
                <w:sz w:val="24"/>
              </w:rPr>
              <w:t>无</w:t>
            </w:r>
          </w:p>
        </w:tc>
        <w:tc>
          <w:tcPr>
            <w:tcW w:w="1427"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舞钢市民政局</w:t>
            </w:r>
          </w:p>
        </w:tc>
      </w:tr>
      <w:tr>
        <w:tblPrEx>
          <w:tblCellMar>
            <w:top w:w="0" w:type="dxa"/>
            <w:left w:w="108" w:type="dxa"/>
            <w:bottom w:w="0" w:type="dxa"/>
            <w:right w:w="108" w:type="dxa"/>
          </w:tblCellMar>
        </w:tblPrEx>
        <w:trPr>
          <w:trHeight w:val="864" w:hRule="atLeast"/>
          <w:jc w:val="center"/>
        </w:trPr>
        <w:tc>
          <w:tcPr>
            <w:tcW w:w="696"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4</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宝丰县中心敬老院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新建</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lang w:val="en-US" w:eastAsia="zh-CN"/>
              </w:rPr>
              <w:t xml:space="preserve"> </w:t>
            </w:r>
            <w:r>
              <w:rPr>
                <w:rFonts w:ascii="仿宋" w:hAnsi="仿宋" w:cs="宋体"/>
                <w:color w:val="000000"/>
                <w:kern w:val="0"/>
                <w:sz w:val="24"/>
              </w:rPr>
              <w:t>2023-2025</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宝丰县</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项目占地面积2800㎡，建筑面积2059.12㎡，设置养老床位150张</w:t>
            </w:r>
            <w:r>
              <w:rPr>
                <w:rFonts w:hint="eastAsia" w:ascii="仿宋" w:hAnsi="仿宋" w:cs="宋体"/>
                <w:color w:val="000000"/>
                <w:kern w:val="0"/>
                <w:sz w:val="24"/>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150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630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378</w:t>
            </w:r>
          </w:p>
        </w:tc>
        <w:tc>
          <w:tcPr>
            <w:tcW w:w="1427"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宝丰县民政局</w:t>
            </w:r>
          </w:p>
        </w:tc>
      </w:tr>
      <w:tr>
        <w:tblPrEx>
          <w:tblCellMar>
            <w:top w:w="0" w:type="dxa"/>
            <w:left w:w="108" w:type="dxa"/>
            <w:bottom w:w="0" w:type="dxa"/>
            <w:right w:w="108" w:type="dxa"/>
          </w:tblCellMar>
        </w:tblPrEx>
        <w:trPr>
          <w:trHeight w:val="1152" w:hRule="atLeast"/>
          <w:jc w:val="center"/>
        </w:trPr>
        <w:tc>
          <w:tcPr>
            <w:tcW w:w="696"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5</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宝丰县商酒务中心敬老院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改扩建</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lang w:val="en-US" w:eastAsia="zh-CN"/>
              </w:rPr>
              <w:t xml:space="preserve"> </w:t>
            </w:r>
            <w:r>
              <w:rPr>
                <w:rFonts w:ascii="仿宋" w:hAnsi="仿宋" w:cs="宋体"/>
                <w:color w:val="000000"/>
                <w:kern w:val="0"/>
                <w:sz w:val="24"/>
              </w:rPr>
              <w:t>2022-2025</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宝丰县</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项目建筑面积  5654平方米，设计床位128张，资金测算  1536万元。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128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1536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920</w:t>
            </w:r>
          </w:p>
        </w:tc>
        <w:tc>
          <w:tcPr>
            <w:tcW w:w="1427"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宝丰县民政局</w:t>
            </w:r>
          </w:p>
        </w:tc>
      </w:tr>
      <w:tr>
        <w:tblPrEx>
          <w:tblCellMar>
            <w:top w:w="0" w:type="dxa"/>
            <w:left w:w="108" w:type="dxa"/>
            <w:bottom w:w="0" w:type="dxa"/>
            <w:right w:w="108" w:type="dxa"/>
          </w:tblCellMar>
        </w:tblPrEx>
        <w:trPr>
          <w:trHeight w:val="591" w:hRule="atLeast"/>
          <w:jc w:val="center"/>
        </w:trPr>
        <w:tc>
          <w:tcPr>
            <w:tcW w:w="696"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6</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宝丰县9所敬老院消防设施设备提升改造</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改造</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lang w:val="en-US" w:eastAsia="zh-CN"/>
              </w:rPr>
              <w:t xml:space="preserve"> </w:t>
            </w:r>
            <w:r>
              <w:rPr>
                <w:rFonts w:ascii="仿宋" w:hAnsi="仿宋" w:cs="宋体"/>
                <w:color w:val="000000"/>
                <w:kern w:val="0"/>
                <w:sz w:val="24"/>
              </w:rPr>
              <w:t>2022-2023</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宝丰县</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对9所敬老院进行消防改造提升，资金测算480万元。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480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260</w:t>
            </w:r>
          </w:p>
        </w:tc>
        <w:tc>
          <w:tcPr>
            <w:tcW w:w="1427"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宝丰县民政局</w:t>
            </w:r>
          </w:p>
        </w:tc>
      </w:tr>
      <w:tr>
        <w:tblPrEx>
          <w:tblCellMar>
            <w:top w:w="0" w:type="dxa"/>
            <w:left w:w="108" w:type="dxa"/>
            <w:bottom w:w="0" w:type="dxa"/>
            <w:right w:w="108" w:type="dxa"/>
          </w:tblCellMar>
        </w:tblPrEx>
        <w:trPr>
          <w:trHeight w:val="937" w:hRule="atLeast"/>
          <w:jc w:val="center"/>
        </w:trPr>
        <w:tc>
          <w:tcPr>
            <w:tcW w:w="696" w:type="dxa"/>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7</w:t>
            </w:r>
          </w:p>
        </w:tc>
        <w:tc>
          <w:tcPr>
            <w:tcW w:w="2419"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舞钢市8家敬老院消防喷淋系统安装项目</w:t>
            </w:r>
          </w:p>
        </w:tc>
        <w:tc>
          <w:tcPr>
            <w:tcW w:w="145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改造</w:t>
            </w:r>
          </w:p>
        </w:tc>
        <w:tc>
          <w:tcPr>
            <w:tcW w:w="1188"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spacing w:line="240" w:lineRule="auto"/>
              <w:ind w:firstLine="0" w:firstLineChars="0"/>
              <w:jc w:val="center"/>
              <w:rPr>
                <w:rFonts w:hint="default" w:ascii="仿宋" w:hAnsi="仿宋" w:eastAsia="仿宋" w:cs="宋体"/>
                <w:color w:val="000000"/>
                <w:kern w:val="0"/>
                <w:sz w:val="24"/>
                <w:lang w:val="en-US" w:eastAsia="zh-CN"/>
              </w:rPr>
            </w:pPr>
            <w:r>
              <w:rPr>
                <w:rFonts w:hint="eastAsia" w:ascii="仿宋" w:hAnsi="仿宋" w:cs="宋体"/>
                <w:color w:val="000000"/>
                <w:kern w:val="0"/>
                <w:sz w:val="24"/>
                <w:lang w:val="en-US" w:eastAsia="zh-CN"/>
              </w:rPr>
              <w:t xml:space="preserve"> </w:t>
            </w:r>
            <w:r>
              <w:rPr>
                <w:rFonts w:ascii="仿宋" w:hAnsi="仿宋" w:cs="宋体"/>
                <w:color w:val="000000"/>
                <w:kern w:val="0"/>
                <w:sz w:val="24"/>
              </w:rPr>
              <w:t>2021</w:t>
            </w:r>
            <w:r>
              <w:rPr>
                <w:rFonts w:hint="eastAsia" w:ascii="仿宋" w:hAnsi="仿宋" w:cs="宋体"/>
                <w:color w:val="000000"/>
                <w:kern w:val="0"/>
                <w:sz w:val="24"/>
                <w:lang w:val="en-US" w:eastAsia="zh-CN"/>
              </w:rPr>
              <w:t>-2022</w:t>
            </w:r>
          </w:p>
        </w:tc>
        <w:tc>
          <w:tcPr>
            <w:tcW w:w="1302"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舞钢市</w:t>
            </w:r>
          </w:p>
        </w:tc>
        <w:tc>
          <w:tcPr>
            <w:tcW w:w="2333"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8家敬老院安装消防喷淋系统</w:t>
            </w:r>
            <w:r>
              <w:rPr>
                <w:rFonts w:hint="eastAsia" w:ascii="仿宋" w:hAnsi="仿宋" w:cs="宋体"/>
                <w:color w:val="000000"/>
                <w:kern w:val="0"/>
                <w:sz w:val="24"/>
              </w:rPr>
              <w:t>。</w:t>
            </w:r>
          </w:p>
        </w:tc>
        <w:tc>
          <w:tcPr>
            <w:tcW w:w="127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0</w:t>
            </w:r>
          </w:p>
        </w:tc>
        <w:tc>
          <w:tcPr>
            <w:tcW w:w="936"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800</w:t>
            </w:r>
          </w:p>
        </w:tc>
        <w:tc>
          <w:tcPr>
            <w:tcW w:w="102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0</w:t>
            </w:r>
          </w:p>
        </w:tc>
        <w:tc>
          <w:tcPr>
            <w:tcW w:w="1427" w:type="dxa"/>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lang w:eastAsia="zh-CN"/>
              </w:rPr>
              <w:t>舞</w:t>
            </w:r>
            <w:r>
              <w:rPr>
                <w:rFonts w:ascii="仿宋" w:hAnsi="仿宋" w:cs="宋体"/>
                <w:color w:val="000000"/>
                <w:kern w:val="0"/>
                <w:sz w:val="24"/>
              </w:rPr>
              <w:t>钢市民政局</w:t>
            </w:r>
          </w:p>
        </w:tc>
      </w:tr>
    </w:tbl>
    <w:p>
      <w:pPr>
        <w:pStyle w:val="3"/>
        <w:ind w:firstLine="643"/>
        <w:rPr>
          <w:rFonts w:hint="eastAsia"/>
        </w:rPr>
      </w:pPr>
      <w:bookmarkStart w:id="85" w:name="_Toc107308275"/>
    </w:p>
    <w:p>
      <w:pPr>
        <w:pStyle w:val="3"/>
        <w:ind w:firstLine="643"/>
      </w:pPr>
      <w:r>
        <w:rPr>
          <w:rFonts w:hint="eastAsia"/>
        </w:rPr>
        <w:t>（二）其他养老机构建设项目</w:t>
      </w:r>
      <w:bookmarkEnd w:id="85"/>
    </w:p>
    <w:tbl>
      <w:tblPr>
        <w:tblStyle w:val="30"/>
        <w:tblW w:w="0" w:type="auto"/>
        <w:tblInd w:w="113" w:type="dxa"/>
        <w:tblLayout w:type="autofit"/>
        <w:tblCellMar>
          <w:top w:w="0" w:type="dxa"/>
          <w:left w:w="108" w:type="dxa"/>
          <w:bottom w:w="0" w:type="dxa"/>
          <w:right w:w="108" w:type="dxa"/>
        </w:tblCellMar>
      </w:tblPr>
      <w:tblGrid>
        <w:gridCol w:w="696"/>
        <w:gridCol w:w="2363"/>
        <w:gridCol w:w="1345"/>
        <w:gridCol w:w="1296"/>
        <w:gridCol w:w="1258"/>
        <w:gridCol w:w="2352"/>
        <w:gridCol w:w="1324"/>
        <w:gridCol w:w="940"/>
        <w:gridCol w:w="965"/>
        <w:gridCol w:w="1417"/>
      </w:tblGrid>
      <w:tr>
        <w:tblPrEx>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项目名称</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项目类型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建设期限</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建设地点</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建设内容和规模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床位数(张)</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总投资</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申请中央预算内投资(万元)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组织实施单位</w:t>
            </w:r>
          </w:p>
        </w:tc>
      </w:tr>
      <w:tr>
        <w:tblPrEx>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ascii="仿宋" w:hAnsi="仿宋" w:cs="宋体"/>
                <w:color w:val="000000"/>
                <w:kern w:val="0"/>
                <w:sz w:val="24"/>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平顶山市养老服务中心</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平顶山市平宝大道与吉祥路交叉口</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平顶山市养老服务中心位于平顶山市社会福利院区，占地面积7000平方米，为福利园区二期新建项目。</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5</w:t>
            </w:r>
            <w:r>
              <w:rPr>
                <w:rFonts w:ascii="仿宋" w:hAnsi="仿宋" w:cs="宋体"/>
                <w:color w:val="000000"/>
                <w:kern w:val="0"/>
                <w:sz w:val="24"/>
              </w:rPr>
              <w:t>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1</w:t>
            </w:r>
            <w:r>
              <w:rPr>
                <w:rFonts w:ascii="仿宋" w:hAnsi="仿宋" w:cs="宋体"/>
                <w:color w:val="000000"/>
                <w:kern w:val="0"/>
                <w:sz w:val="24"/>
              </w:rPr>
              <w:t>5000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平顶山市</w:t>
            </w:r>
          </w:p>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民政局</w:t>
            </w:r>
          </w:p>
        </w:tc>
      </w:tr>
      <w:tr>
        <w:tblPrEx>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2</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平顶山市夕阳红养老服务中心</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2022-2024</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宝丰县苗李新村</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本项目总建筑面积确定</w:t>
            </w:r>
            <w:r>
              <w:rPr>
                <w:rFonts w:ascii="仿宋" w:hAnsi="仿宋" w:cs="宋体"/>
                <w:color w:val="000000"/>
                <w:kern w:val="0"/>
                <w:sz w:val="24"/>
                <w:highlight w:val="none"/>
              </w:rPr>
              <w:t>为3600平方米。设置</w:t>
            </w:r>
            <w:r>
              <w:rPr>
                <w:rFonts w:hint="eastAsia" w:ascii="仿宋" w:hAnsi="仿宋" w:cs="宋体"/>
                <w:color w:val="000000"/>
                <w:kern w:val="0"/>
                <w:sz w:val="24"/>
                <w:highlight w:val="none"/>
                <w:lang w:val="en-US" w:eastAsia="zh-CN"/>
              </w:rPr>
              <w:t>80</w:t>
            </w:r>
            <w:r>
              <w:rPr>
                <w:rFonts w:ascii="仿宋" w:hAnsi="仿宋" w:cs="宋体"/>
                <w:color w:val="000000"/>
                <w:kern w:val="0"/>
                <w:sz w:val="24"/>
                <w:highlight w:val="none"/>
              </w:rPr>
              <w:t>张床</w:t>
            </w:r>
            <w:r>
              <w:rPr>
                <w:rFonts w:ascii="仿宋" w:hAnsi="仿宋" w:cs="宋体"/>
                <w:color w:val="000000"/>
                <w:kern w:val="0"/>
                <w:sz w:val="24"/>
              </w:rPr>
              <w:t>位</w:t>
            </w:r>
            <w:r>
              <w:rPr>
                <w:rFonts w:hint="eastAsia" w:ascii="仿宋" w:hAnsi="仿宋" w:cs="宋体"/>
                <w:color w:val="000000"/>
                <w:kern w:val="0"/>
                <w:sz w:val="24"/>
              </w:rPr>
              <w:t>。</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500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5000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1000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宝丰县发展投资有限公司</w:t>
            </w:r>
          </w:p>
        </w:tc>
      </w:tr>
      <w:tr>
        <w:tblPrEx>
          <w:tblCellMar>
            <w:top w:w="0" w:type="dxa"/>
            <w:left w:w="108" w:type="dxa"/>
            <w:bottom w:w="0" w:type="dxa"/>
            <w:right w:w="108" w:type="dxa"/>
          </w:tblCellMar>
        </w:tblPrEx>
        <w:trPr>
          <w:trHeight w:val="16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3</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叶县中心养老院</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2019-2022</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叶县任店镇</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该项目可建设用地面积15120平方米（2.7亩），总建筑面积20900平方米，将提供480张养老床位。</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480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7849</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6270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平顶山盐都养老有限公司</w:t>
            </w:r>
          </w:p>
        </w:tc>
      </w:tr>
      <w:tr>
        <w:tblPrEx>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4</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叶县健康养老中心</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2021-2025</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叶县任店镇</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本项目计划占地约91亩，建筑面积：83575平方米，可提供床位1850张</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1850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27788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无</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叶县民政局</w:t>
            </w:r>
          </w:p>
        </w:tc>
      </w:tr>
      <w:tr>
        <w:tblPrEx>
          <w:tblCellMar>
            <w:top w:w="0" w:type="dxa"/>
            <w:left w:w="108" w:type="dxa"/>
            <w:bottom w:w="0" w:type="dxa"/>
            <w:right w:w="108" w:type="dxa"/>
          </w:tblCellMar>
        </w:tblPrEx>
        <w:trPr>
          <w:trHeight w:val="9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5</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舞钢市养老服务中心</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1年</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舞钢市</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占地15亩，100张床位，建筑面积5182.54㎡</w:t>
            </w:r>
            <w:r>
              <w:rPr>
                <w:rFonts w:hint="eastAsia" w:ascii="仿宋" w:hAnsi="仿宋" w:cs="宋体"/>
                <w:color w:val="000000"/>
                <w:kern w:val="0"/>
                <w:sz w:val="24"/>
              </w:rPr>
              <w:t>。</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100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3</w:t>
            </w:r>
            <w:r>
              <w:rPr>
                <w:rFonts w:ascii="仿宋" w:hAnsi="仿宋" w:cs="宋体"/>
                <w:color w:val="000000"/>
                <w:kern w:val="0"/>
                <w:sz w:val="24"/>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kern w:val="0"/>
                <w:sz w:val="24"/>
              </w:rPr>
            </w:pPr>
            <w:r>
              <w:rPr>
                <w:rFonts w:hint="eastAsia" w:ascii="仿宋" w:hAnsi="仿宋"/>
                <w:kern w:val="0"/>
                <w:sz w:val="24"/>
              </w:rPr>
              <w:t>无</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舞钢市民政局</w:t>
            </w:r>
          </w:p>
        </w:tc>
      </w:tr>
      <w:tr>
        <w:tblPrEx>
          <w:tblCellMar>
            <w:top w:w="0" w:type="dxa"/>
            <w:left w:w="108" w:type="dxa"/>
            <w:bottom w:w="0" w:type="dxa"/>
            <w:right w:w="108" w:type="dxa"/>
          </w:tblCellMar>
        </w:tblPrEx>
        <w:trPr>
          <w:trHeight w:val="69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6</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舞钢市朱兰街道综合养老院</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2年</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舞钢市朱兰街道办事处</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用地面积约20亩，主体楼三栋，框架三层，总建筑面积约8500平方米，通过新建，新增养老床位200张。</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200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3000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1800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舞钢市朱兰街道办事处</w:t>
            </w:r>
          </w:p>
        </w:tc>
      </w:tr>
      <w:tr>
        <w:tblPrEx>
          <w:tblCellMar>
            <w:top w:w="0" w:type="dxa"/>
            <w:left w:w="108" w:type="dxa"/>
            <w:bottom w:w="0" w:type="dxa"/>
            <w:right w:w="108" w:type="dxa"/>
          </w:tblCellMar>
        </w:tblPrEx>
        <w:trPr>
          <w:trHeight w:val="864"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7</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万福康养医养结合项目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改扩建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2021-2022</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舞钢市</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用地面积约20000平方米，主体楼两栋，总建筑面积约6000平方米，通过改扩建，新增医养结合床位200张。</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200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850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400</w:t>
            </w:r>
          </w:p>
        </w:tc>
        <w:tc>
          <w:tcPr>
            <w:tcW w:w="1417"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舞钢市万福健康养老中心</w:t>
            </w:r>
          </w:p>
        </w:tc>
      </w:tr>
      <w:tr>
        <w:tblPrEx>
          <w:tblCellMar>
            <w:top w:w="0" w:type="dxa"/>
            <w:left w:w="108" w:type="dxa"/>
            <w:bottom w:w="0" w:type="dxa"/>
            <w:right w:w="108" w:type="dxa"/>
          </w:tblCellMar>
        </w:tblPrEx>
        <w:trPr>
          <w:trHeight w:val="11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p>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8</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伊甸园医养结合示范项目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2年</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舞钢市</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占地面积约20000平方米，新建主体楼两栋，三层框架，总建筑面积约8000平方米，全部为新建面积，新增医养结合床位300张。</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300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1500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600</w:t>
            </w:r>
          </w:p>
        </w:tc>
        <w:tc>
          <w:tcPr>
            <w:tcW w:w="1417"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舞钢市伊甸园老年公寓</w:t>
            </w:r>
          </w:p>
        </w:tc>
      </w:tr>
      <w:tr>
        <w:tblPrEx>
          <w:tblCellMar>
            <w:top w:w="0" w:type="dxa"/>
            <w:left w:w="108" w:type="dxa"/>
            <w:bottom w:w="0" w:type="dxa"/>
            <w:right w:w="108" w:type="dxa"/>
          </w:tblCellMar>
        </w:tblPrEx>
        <w:trPr>
          <w:trHeight w:val="576"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9</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舞钢市同立集团医养综合体项目</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改扩建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2023.12</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舞钢市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完成后医养总床位达700张，并完善居家社区机构相协调的养老服务体系，完善智慧养老平台。</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700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3000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无</w:t>
            </w:r>
          </w:p>
        </w:tc>
        <w:tc>
          <w:tcPr>
            <w:tcW w:w="1417"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舞钢市同立康养集团</w:t>
            </w:r>
          </w:p>
        </w:tc>
      </w:tr>
    </w:tbl>
    <w:p>
      <w:pPr>
        <w:pStyle w:val="3"/>
        <w:ind w:firstLine="643"/>
        <w:rPr>
          <w:rFonts w:hint="eastAsia"/>
        </w:rPr>
      </w:pPr>
      <w:bookmarkStart w:id="86" w:name="_Toc107308276"/>
    </w:p>
    <w:p>
      <w:pPr>
        <w:pStyle w:val="3"/>
        <w:ind w:firstLine="643"/>
      </w:pPr>
      <w:r>
        <w:rPr>
          <w:rFonts w:hint="eastAsia"/>
        </w:rPr>
        <w:t>（三）社区养老服务机构建设项目</w:t>
      </w:r>
      <w:bookmarkEnd w:id="86"/>
    </w:p>
    <w:tbl>
      <w:tblPr>
        <w:tblStyle w:val="30"/>
        <w:tblW w:w="14056" w:type="dxa"/>
        <w:tblInd w:w="118" w:type="dxa"/>
        <w:tblLayout w:type="fixed"/>
        <w:tblCellMar>
          <w:top w:w="0" w:type="dxa"/>
          <w:left w:w="108" w:type="dxa"/>
          <w:bottom w:w="0" w:type="dxa"/>
          <w:right w:w="108" w:type="dxa"/>
        </w:tblCellMar>
      </w:tblPr>
      <w:tblGrid>
        <w:gridCol w:w="690"/>
        <w:gridCol w:w="1431"/>
        <w:gridCol w:w="1125"/>
        <w:gridCol w:w="1266"/>
        <w:gridCol w:w="1546"/>
        <w:gridCol w:w="2809"/>
        <w:gridCol w:w="1000"/>
        <w:gridCol w:w="1227"/>
        <w:gridCol w:w="1095"/>
        <w:gridCol w:w="1867"/>
      </w:tblGrid>
      <w:tr>
        <w:tblPrEx>
          <w:tblCellMar>
            <w:top w:w="0" w:type="dxa"/>
            <w:left w:w="108" w:type="dxa"/>
            <w:bottom w:w="0" w:type="dxa"/>
            <w:right w:w="108" w:type="dxa"/>
          </w:tblCellMar>
        </w:tblPrEx>
        <w:trPr>
          <w:trHeight w:val="624" w:hRule="atLeast"/>
        </w:trPr>
        <w:tc>
          <w:tcPr>
            <w:tcW w:w="690"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143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项目名称</w:t>
            </w:r>
          </w:p>
        </w:tc>
        <w:tc>
          <w:tcPr>
            <w:tcW w:w="112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项目类型</w:t>
            </w:r>
          </w:p>
        </w:tc>
        <w:tc>
          <w:tcPr>
            <w:tcW w:w="126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建设期限</w:t>
            </w:r>
          </w:p>
        </w:tc>
        <w:tc>
          <w:tcPr>
            <w:tcW w:w="154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建设地点</w:t>
            </w:r>
          </w:p>
        </w:tc>
        <w:tc>
          <w:tcPr>
            <w:tcW w:w="28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建设内容和规模</w:t>
            </w:r>
          </w:p>
        </w:tc>
        <w:tc>
          <w:tcPr>
            <w:tcW w:w="1000"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床位数(张)</w:t>
            </w:r>
          </w:p>
        </w:tc>
        <w:tc>
          <w:tcPr>
            <w:tcW w:w="122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总投资(万元)</w:t>
            </w:r>
          </w:p>
        </w:tc>
        <w:tc>
          <w:tcPr>
            <w:tcW w:w="1095"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申请中央预算内投资(万元)</w:t>
            </w:r>
          </w:p>
        </w:tc>
        <w:tc>
          <w:tcPr>
            <w:tcW w:w="1867"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组织实施单位</w:t>
            </w:r>
          </w:p>
        </w:tc>
      </w:tr>
      <w:tr>
        <w:tblPrEx>
          <w:tblCellMar>
            <w:top w:w="0" w:type="dxa"/>
            <w:left w:w="108" w:type="dxa"/>
            <w:bottom w:w="0" w:type="dxa"/>
            <w:right w:w="108" w:type="dxa"/>
          </w:tblCellMar>
        </w:tblPrEx>
        <w:trPr>
          <w:trHeight w:val="864" w:hRule="atLeast"/>
        </w:trPr>
        <w:tc>
          <w:tcPr>
            <w:tcW w:w="69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新华区新新街街道综合养老服务中心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改扩建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2022年-2023年</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新华区新新街街道谢庄村</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新新街街道办事处(新建)总建筑面积1000平方、设置床位30张</w:t>
            </w:r>
            <w:r>
              <w:rPr>
                <w:rFonts w:hint="eastAsia" w:ascii="仿宋" w:hAnsi="仿宋" w:cs="宋体"/>
                <w:color w:val="000000"/>
                <w:kern w:val="0"/>
                <w:sz w:val="24"/>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30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180</w:t>
            </w:r>
          </w:p>
        </w:tc>
        <w:tc>
          <w:tcPr>
            <w:tcW w:w="1867"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新华区民政局</w:t>
            </w:r>
          </w:p>
        </w:tc>
      </w:tr>
      <w:tr>
        <w:tblPrEx>
          <w:tblCellMar>
            <w:top w:w="0" w:type="dxa"/>
            <w:left w:w="108" w:type="dxa"/>
            <w:bottom w:w="0" w:type="dxa"/>
            <w:right w:w="108" w:type="dxa"/>
          </w:tblCellMar>
        </w:tblPrEx>
        <w:trPr>
          <w:trHeight w:val="1152" w:hRule="atLeast"/>
        </w:trPr>
        <w:tc>
          <w:tcPr>
            <w:tcW w:w="69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宝丰县3个社区居家养老服务设施建设项目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新建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2023-2025</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宝丰县南关社区、仓巷社区、友好社区</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项目建筑面积1336.91平方米，床位数28张，在3个社区建设老年日间照料中心（养老服务站）。</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28</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348.77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287</w:t>
            </w:r>
          </w:p>
        </w:tc>
        <w:tc>
          <w:tcPr>
            <w:tcW w:w="1867"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宝丰县民政局</w:t>
            </w:r>
          </w:p>
        </w:tc>
      </w:tr>
      <w:tr>
        <w:tblPrEx>
          <w:tblCellMar>
            <w:top w:w="0" w:type="dxa"/>
            <w:left w:w="108" w:type="dxa"/>
            <w:bottom w:w="0" w:type="dxa"/>
            <w:right w:w="108" w:type="dxa"/>
          </w:tblCellMar>
        </w:tblPrEx>
        <w:trPr>
          <w:trHeight w:val="864" w:hRule="atLeast"/>
        </w:trPr>
        <w:tc>
          <w:tcPr>
            <w:tcW w:w="69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3</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卫东区鸿鹰街道办事处天宏社区康养中心建设项目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新建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2021年-2023年</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卫东区水岸家园小区</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总建筑面积2400平方米，建设护理型床位65张，床均面积36.9平方米</w:t>
            </w:r>
            <w:r>
              <w:rPr>
                <w:rFonts w:hint="eastAsia" w:ascii="仿宋" w:hAnsi="仿宋" w:cs="宋体"/>
                <w:color w:val="000000"/>
                <w:kern w:val="0"/>
                <w:sz w:val="24"/>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65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780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468</w:t>
            </w:r>
          </w:p>
        </w:tc>
        <w:tc>
          <w:tcPr>
            <w:tcW w:w="1867"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卫东区民政局</w:t>
            </w:r>
          </w:p>
        </w:tc>
      </w:tr>
      <w:tr>
        <w:tblPrEx>
          <w:tblCellMar>
            <w:top w:w="0" w:type="dxa"/>
            <w:left w:w="108" w:type="dxa"/>
            <w:bottom w:w="0" w:type="dxa"/>
            <w:right w:w="108" w:type="dxa"/>
          </w:tblCellMar>
        </w:tblPrEx>
        <w:trPr>
          <w:trHeight w:val="1152" w:hRule="atLeast"/>
        </w:trPr>
        <w:tc>
          <w:tcPr>
            <w:tcW w:w="69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4</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新城区街道综合养老服务中心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改扩建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2022年-2023年</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总建筑面积2200平米，建设床位60张，其中护理型床位60张，床均面积36.7平方米</w:t>
            </w:r>
            <w:r>
              <w:rPr>
                <w:rFonts w:hint="eastAsia" w:ascii="仿宋" w:hAnsi="仿宋" w:cs="宋体"/>
                <w:color w:val="000000"/>
                <w:kern w:val="0"/>
                <w:sz w:val="24"/>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60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994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432</w:t>
            </w:r>
          </w:p>
        </w:tc>
        <w:tc>
          <w:tcPr>
            <w:tcW w:w="1867"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新城区民政局</w:t>
            </w:r>
          </w:p>
        </w:tc>
      </w:tr>
      <w:tr>
        <w:tblPrEx>
          <w:tblCellMar>
            <w:top w:w="0" w:type="dxa"/>
            <w:left w:w="108" w:type="dxa"/>
            <w:bottom w:w="0" w:type="dxa"/>
            <w:right w:w="108" w:type="dxa"/>
          </w:tblCellMar>
        </w:tblPrEx>
        <w:trPr>
          <w:trHeight w:val="936" w:hRule="atLeast"/>
        </w:trPr>
        <w:tc>
          <w:tcPr>
            <w:tcW w:w="69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5</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叶县盐都、昆阳、九龙三个办事处综合养老服务中心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新建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2021年-2022年</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九龙街道、盐都街道、昆阳街道</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建筑面积9000㎡，设置床位225张</w:t>
            </w:r>
            <w:r>
              <w:rPr>
                <w:rFonts w:hint="eastAsia" w:ascii="仿宋" w:hAnsi="仿宋" w:cs="宋体"/>
                <w:color w:val="000000"/>
                <w:kern w:val="0"/>
                <w:sz w:val="24"/>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225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1538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kern w:val="0"/>
                <w:sz w:val="24"/>
              </w:rPr>
            </w:pPr>
            <w:r>
              <w:rPr>
                <w:rFonts w:hint="eastAsia" w:ascii="仿宋" w:hAnsi="仿宋"/>
                <w:kern w:val="0"/>
                <w:sz w:val="24"/>
              </w:rPr>
              <w:t>638</w:t>
            </w:r>
          </w:p>
        </w:tc>
        <w:tc>
          <w:tcPr>
            <w:tcW w:w="1867"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叶县民政局</w:t>
            </w:r>
          </w:p>
        </w:tc>
      </w:tr>
      <w:tr>
        <w:tblPrEx>
          <w:tblCellMar>
            <w:top w:w="0" w:type="dxa"/>
            <w:left w:w="108" w:type="dxa"/>
            <w:bottom w:w="0" w:type="dxa"/>
            <w:right w:w="108" w:type="dxa"/>
          </w:tblCellMar>
        </w:tblPrEx>
        <w:trPr>
          <w:trHeight w:val="1167" w:hRule="atLeast"/>
        </w:trPr>
        <w:tc>
          <w:tcPr>
            <w:tcW w:w="69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6</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汝州市钟楼街道综合养老服务中心项目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新建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lang w:val="en-US" w:eastAsia="zh-CN"/>
              </w:rPr>
              <w:t>-</w:t>
            </w:r>
            <w:r>
              <w:rPr>
                <w:rFonts w:hint="eastAsia" w:ascii="仿宋" w:hAnsi="仿宋" w:cs="宋体"/>
                <w:color w:val="000000"/>
                <w:kern w:val="0"/>
                <w:sz w:val="24"/>
              </w:rPr>
              <w:t>　</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汝州市钟楼街道</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原城区敬老院对南楼进行加盖，把北楼及餐厅拆除，建设三层双面综合楼。</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104</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562.7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无</w:t>
            </w:r>
          </w:p>
        </w:tc>
        <w:tc>
          <w:tcPr>
            <w:tcW w:w="186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汝州市卫健益康实业有限公司</w:t>
            </w:r>
          </w:p>
        </w:tc>
      </w:tr>
    </w:tbl>
    <w:p>
      <w:pPr>
        <w:pStyle w:val="3"/>
        <w:ind w:firstLine="643"/>
      </w:pPr>
      <w:bookmarkStart w:id="87" w:name="_Toc107308277"/>
      <w:r>
        <w:rPr>
          <w:rFonts w:hint="eastAsia"/>
        </w:rPr>
        <w:t>（四）健康养生服务体系建设项目</w:t>
      </w:r>
      <w:bookmarkEnd w:id="87"/>
    </w:p>
    <w:tbl>
      <w:tblPr>
        <w:tblStyle w:val="30"/>
        <w:tblW w:w="0" w:type="auto"/>
        <w:tblInd w:w="113" w:type="dxa"/>
        <w:tblLayout w:type="autofit"/>
        <w:tblCellMar>
          <w:top w:w="0" w:type="dxa"/>
          <w:left w:w="108" w:type="dxa"/>
          <w:bottom w:w="0" w:type="dxa"/>
          <w:right w:w="108" w:type="dxa"/>
        </w:tblCellMar>
      </w:tblPr>
      <w:tblGrid>
        <w:gridCol w:w="696"/>
        <w:gridCol w:w="1176"/>
        <w:gridCol w:w="1176"/>
        <w:gridCol w:w="1927"/>
        <w:gridCol w:w="1176"/>
        <w:gridCol w:w="5937"/>
        <w:gridCol w:w="1753"/>
      </w:tblGrid>
      <w:tr>
        <w:tblPrEx>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项目类型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建设阶段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建设地点</w:t>
            </w:r>
          </w:p>
        </w:tc>
        <w:tc>
          <w:tcPr>
            <w:tcW w:w="5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建设内容和规模</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组织实施单位</w:t>
            </w:r>
          </w:p>
        </w:tc>
      </w:tr>
      <w:tr>
        <w:tblPrEx>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等线" w:hAnsi="等线" w:eastAsia="等线" w:cs="宋体"/>
                <w:color w:val="000000"/>
                <w:kern w:val="0"/>
                <w:sz w:val="22"/>
                <w:szCs w:val="22"/>
              </w:rPr>
            </w:pPr>
            <w:r>
              <w:rPr>
                <w:rFonts w:ascii="等线" w:hAnsi="等线" w:eastAsia="等线" w:cs="宋体"/>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温泉水镇（一期）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在建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汝州</w:t>
            </w:r>
          </w:p>
        </w:tc>
        <w:tc>
          <w:tcPr>
            <w:tcW w:w="5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项目规划建设用地666亩，建筑面积44万多平方米， 项目涵盖文化旅游、大健康及商业、地产等领域，拟打造集奥特莱斯商业、法国薇姿温泉养生、大健康、 休闲旅游、艺术展览、文化创意衍生品交易、非物质文化遗产展示及生态居住于一体的国际文旅健康小镇，总投资3</w:t>
            </w:r>
            <w:r>
              <w:rPr>
                <w:rFonts w:ascii="仿宋" w:hAnsi="仿宋" w:cs="宋体"/>
                <w:color w:val="000000"/>
                <w:kern w:val="0"/>
                <w:sz w:val="24"/>
              </w:rPr>
              <w:t>0</w:t>
            </w:r>
            <w:r>
              <w:rPr>
                <w:rFonts w:hint="eastAsia" w:ascii="仿宋" w:hAnsi="仿宋" w:cs="宋体"/>
                <w:color w:val="000000"/>
                <w:kern w:val="0"/>
                <w:sz w:val="24"/>
              </w:rPr>
              <w:t>亿元。</w:t>
            </w:r>
          </w:p>
        </w:tc>
        <w:tc>
          <w:tcPr>
            <w:tcW w:w="1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汝州温泉水镇发展有限公司</w:t>
            </w:r>
          </w:p>
        </w:tc>
      </w:tr>
      <w:tr>
        <w:tblPrEx>
          <w:tblCellMar>
            <w:top w:w="0" w:type="dxa"/>
            <w:left w:w="108" w:type="dxa"/>
            <w:bottom w:w="0" w:type="dxa"/>
            <w:right w:w="108" w:type="dxa"/>
          </w:tblCellMar>
        </w:tblPrEx>
        <w:trPr>
          <w:trHeight w:val="20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等线" w:hAnsi="等线" w:eastAsia="等线" w:cs="宋体"/>
                <w:color w:val="000000"/>
                <w:kern w:val="0"/>
                <w:sz w:val="22"/>
                <w:szCs w:val="22"/>
              </w:rPr>
            </w:pPr>
            <w:r>
              <w:rPr>
                <w:rFonts w:ascii="等线" w:hAnsi="等线" w:eastAsia="等线" w:cs="宋体"/>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鲁山县温泉康养水镇建设项目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前期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鲁山县</w:t>
            </w:r>
          </w:p>
        </w:tc>
        <w:tc>
          <w:tcPr>
            <w:tcW w:w="5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围绕“健康、养老、旅游、娱乐、爱情、教育、宜居”七大理念，建设多国特色的温泉馆、儿童乐园、高档养老养生区、酒店会议区、风情商业街、高档居住区、知名院校和三甲医院等。</w:t>
            </w:r>
          </w:p>
        </w:tc>
        <w:tc>
          <w:tcPr>
            <w:tcW w:w="1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平顶山恒久置业有限公司</w:t>
            </w:r>
          </w:p>
        </w:tc>
      </w:tr>
      <w:tr>
        <w:tblPrEx>
          <w:tblCellMar>
            <w:top w:w="0" w:type="dxa"/>
            <w:left w:w="108" w:type="dxa"/>
            <w:bottom w:w="0" w:type="dxa"/>
            <w:right w:w="108"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等线" w:hAnsi="等线" w:eastAsia="等线" w:cs="宋体"/>
                <w:color w:val="000000"/>
                <w:kern w:val="0"/>
                <w:sz w:val="22"/>
                <w:szCs w:val="22"/>
              </w:rPr>
            </w:pPr>
            <w:r>
              <w:rPr>
                <w:rFonts w:ascii="等线" w:hAnsi="等线" w:eastAsia="等线" w:cs="宋体"/>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鲁山县云栖谷旅游度假区森林康养小镇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等线" w:hAnsi="等线" w:eastAsia="等线" w:cs="宋体"/>
                <w:color w:val="000000"/>
                <w:kern w:val="0"/>
                <w:sz w:val="22"/>
                <w:szCs w:val="22"/>
              </w:rPr>
            </w:pPr>
            <w:r>
              <w:rPr>
                <w:rFonts w:hint="eastAsia" w:ascii="仿宋" w:hAnsi="仿宋" w:cs="宋体"/>
                <w:color w:val="000000"/>
                <w:kern w:val="0"/>
                <w:sz w:val="24"/>
              </w:rPr>
              <w:t>前期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仿宋_GB2312" w:eastAsia="等线" w:cs="宋体"/>
                <w:color w:val="000000"/>
                <w:kern w:val="0"/>
                <w:sz w:val="21"/>
                <w:szCs w:val="21"/>
              </w:rPr>
            </w:pPr>
            <w:r>
              <w:rPr>
                <w:rFonts w:ascii="仿宋_GB2312" w:hAnsi="仿宋_GB2312" w:eastAsia="等线" w:cs="宋体"/>
                <w:color w:val="000000"/>
                <w:kern w:val="0"/>
                <w:sz w:val="21"/>
                <w:szCs w:val="21"/>
              </w:rPr>
              <w:t>鲁山县</w:t>
            </w:r>
          </w:p>
        </w:tc>
        <w:tc>
          <w:tcPr>
            <w:tcW w:w="5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建设森林康养小镇、百草园康养区、游客集散中心等及其他配套工程。</w:t>
            </w:r>
          </w:p>
        </w:tc>
        <w:tc>
          <w:tcPr>
            <w:tcW w:w="1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鲁山县云栖谷实业有限公司</w:t>
            </w:r>
          </w:p>
        </w:tc>
      </w:tr>
      <w:tr>
        <w:tblPrEx>
          <w:tblCellMar>
            <w:top w:w="0" w:type="dxa"/>
            <w:left w:w="108" w:type="dxa"/>
            <w:bottom w:w="0" w:type="dxa"/>
            <w:right w:w="108" w:type="dxa"/>
          </w:tblCellMar>
        </w:tblPrEx>
        <w:trPr>
          <w:trHeight w:val="1440" w:hRule="atLeast"/>
        </w:trPr>
        <w:tc>
          <w:tcPr>
            <w:tcW w:w="69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4</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太阳谷康养项目</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新建</w:t>
            </w:r>
          </w:p>
        </w:tc>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卫东区</w:t>
            </w:r>
          </w:p>
        </w:tc>
        <w:tc>
          <w:tcPr>
            <w:tcW w:w="5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总建筑面积500万平方米，建设康养文创展示中心和智慧康养社区。</w:t>
            </w:r>
          </w:p>
        </w:tc>
        <w:tc>
          <w:tcPr>
            <w:tcW w:w="1753"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平顶山太阳谷宜养置业有限公司</w:t>
            </w:r>
          </w:p>
        </w:tc>
      </w:tr>
      <w:tr>
        <w:tblPrEx>
          <w:tblCellMar>
            <w:top w:w="0" w:type="dxa"/>
            <w:left w:w="108" w:type="dxa"/>
            <w:bottom w:w="0" w:type="dxa"/>
            <w:right w:w="108" w:type="dxa"/>
          </w:tblCellMar>
        </w:tblPrEx>
        <w:trPr>
          <w:trHeight w:val="2117" w:hRule="atLeast"/>
        </w:trPr>
        <w:tc>
          <w:tcPr>
            <w:tcW w:w="69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5</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平顶山国际物流产业新城康养启动区项目</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新建</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卫东区</w:t>
            </w:r>
          </w:p>
        </w:tc>
        <w:tc>
          <w:tcPr>
            <w:tcW w:w="5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总占地面积约2000亩。规划建设东湖中央公园、卫东区人民医院新院区，投资引入太阳城康养项目、国际知名专科医疗机构、高端中医康养酒店、古应国文化休闲水街、健身休闲运动公园、全龄段康养社区，规划总建筑面积约200 万平方米。</w:t>
            </w:r>
          </w:p>
        </w:tc>
        <w:tc>
          <w:tcPr>
            <w:tcW w:w="175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仿宋" w:hAnsi="仿宋"/>
                <w:kern w:val="0"/>
                <w:sz w:val="24"/>
              </w:rPr>
            </w:pPr>
            <w:r>
              <w:rPr>
                <w:rFonts w:hint="eastAsia" w:ascii="仿宋" w:hAnsi="仿宋"/>
                <w:kern w:val="0"/>
                <w:sz w:val="24"/>
              </w:rPr>
              <w:t>卫东区</w:t>
            </w:r>
          </w:p>
        </w:tc>
      </w:tr>
      <w:tr>
        <w:tblPrEx>
          <w:tblCellMar>
            <w:top w:w="0" w:type="dxa"/>
            <w:left w:w="108" w:type="dxa"/>
            <w:bottom w:w="0" w:type="dxa"/>
            <w:right w:w="108" w:type="dxa"/>
          </w:tblCellMar>
        </w:tblPrEx>
        <w:trPr>
          <w:trHeight w:val="624" w:hRule="atLeast"/>
        </w:trPr>
        <w:tc>
          <w:tcPr>
            <w:tcW w:w="69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6</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舒山健康养老园区</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新建</w:t>
            </w:r>
          </w:p>
        </w:tc>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前期</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城乡一体化示范区</w:t>
            </w:r>
          </w:p>
        </w:tc>
        <w:tc>
          <w:tcPr>
            <w:tcW w:w="5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占地约612亩，建筑面积约13.5万平方米，总投资125018万元。</w:t>
            </w:r>
          </w:p>
        </w:tc>
        <w:tc>
          <w:tcPr>
            <w:tcW w:w="1753"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荣邦健康</w:t>
            </w:r>
          </w:p>
        </w:tc>
      </w:tr>
      <w:tr>
        <w:tblPrEx>
          <w:tblCellMar>
            <w:top w:w="0" w:type="dxa"/>
            <w:left w:w="108" w:type="dxa"/>
            <w:bottom w:w="0" w:type="dxa"/>
            <w:right w:w="108" w:type="dxa"/>
          </w:tblCellMar>
        </w:tblPrEx>
        <w:trPr>
          <w:trHeight w:val="1248" w:hRule="atLeast"/>
        </w:trPr>
        <w:tc>
          <w:tcPr>
            <w:tcW w:w="69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7</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汝泉康养度假中心</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新建</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rPr>
                <w:rFonts w:hint="eastAsia" w:ascii="仿宋" w:hAnsi="仿宋" w:eastAsia="仿宋" w:cs="宋体"/>
                <w:color w:val="000000"/>
                <w:kern w:val="0"/>
                <w:sz w:val="24"/>
                <w:lang w:eastAsia="zh-CN"/>
              </w:rPr>
            </w:pPr>
            <w:r>
              <w:rPr>
                <w:rFonts w:hint="eastAsia" w:ascii="仿宋" w:hAnsi="仿宋" w:cs="宋体"/>
                <w:color w:val="000000"/>
                <w:kern w:val="0"/>
                <w:sz w:val="24"/>
                <w:lang w:eastAsia="zh-CN"/>
              </w:rPr>
              <w:t>前期</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汝州市</w:t>
            </w:r>
          </w:p>
        </w:tc>
        <w:tc>
          <w:tcPr>
            <w:tcW w:w="5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总建筑面积5万平方米，依托汝州市温泉镇敬老院打造温泉镇康养中心。</w:t>
            </w:r>
          </w:p>
        </w:tc>
        <w:tc>
          <w:tcPr>
            <w:tcW w:w="1753"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河南润霖康养集团</w:t>
            </w:r>
          </w:p>
        </w:tc>
      </w:tr>
      <w:tr>
        <w:tblPrEx>
          <w:tblCellMar>
            <w:top w:w="0" w:type="dxa"/>
            <w:left w:w="108" w:type="dxa"/>
            <w:bottom w:w="0" w:type="dxa"/>
            <w:right w:w="108" w:type="dxa"/>
          </w:tblCellMar>
        </w:tblPrEx>
        <w:trPr>
          <w:trHeight w:val="844" w:hRule="atLeast"/>
        </w:trPr>
        <w:tc>
          <w:tcPr>
            <w:tcW w:w="69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8</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中益养老基地建设项目</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新建</w:t>
            </w:r>
          </w:p>
        </w:tc>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前期</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鲁山县</w:t>
            </w:r>
          </w:p>
        </w:tc>
        <w:tc>
          <w:tcPr>
            <w:tcW w:w="5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ascii="仿宋" w:hAnsi="仿宋" w:cs="宋体"/>
                <w:color w:val="000000"/>
                <w:kern w:val="0"/>
                <w:sz w:val="24"/>
              </w:rPr>
              <w:t>项目位于张良镇里沟村，占用坡地</w:t>
            </w:r>
            <w:r>
              <w:rPr>
                <w:rFonts w:ascii="仿宋" w:hAnsi="仿宋" w:cs="宋体"/>
                <w:b/>
                <w:bCs/>
                <w:color w:val="000000"/>
                <w:kern w:val="0"/>
                <w:sz w:val="24"/>
              </w:rPr>
              <w:t>1000</w:t>
            </w:r>
            <w:r>
              <w:rPr>
                <w:rFonts w:ascii="仿宋" w:hAnsi="仿宋" w:cs="宋体"/>
                <w:color w:val="000000"/>
                <w:kern w:val="0"/>
                <w:sz w:val="24"/>
              </w:rPr>
              <w:t>亩，主要建设集养老、休闲、观光、旅游等功能于一体的别墅式、公寓式养老住房，总建筑面积9.5万m2，总投资10 亿元。</w:t>
            </w:r>
          </w:p>
        </w:tc>
        <w:tc>
          <w:tcPr>
            <w:tcW w:w="1753"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张良镇</w:t>
            </w:r>
          </w:p>
        </w:tc>
      </w:tr>
      <w:tr>
        <w:tblPrEx>
          <w:tblCellMar>
            <w:top w:w="0" w:type="dxa"/>
            <w:left w:w="108" w:type="dxa"/>
            <w:bottom w:w="0" w:type="dxa"/>
            <w:right w:w="108" w:type="dxa"/>
          </w:tblCellMar>
        </w:tblPrEx>
        <w:trPr>
          <w:trHeight w:val="2259" w:hRule="atLeast"/>
        </w:trPr>
        <w:tc>
          <w:tcPr>
            <w:tcW w:w="69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9</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中原盐都盐湖旅游度假区项目</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r>
              <w:rPr>
                <w:rFonts w:ascii="仿宋" w:hAnsi="仿宋" w:cs="宋体"/>
                <w:color w:val="000000"/>
                <w:kern w:val="0"/>
                <w:sz w:val="24"/>
              </w:rPr>
              <w:t>新建</w:t>
            </w:r>
          </w:p>
        </w:tc>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前期</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叶县</w:t>
            </w:r>
          </w:p>
        </w:tc>
        <w:tc>
          <w:tcPr>
            <w:tcW w:w="5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ascii="仿宋" w:hAnsi="仿宋" w:cs="宋体"/>
                <w:color w:val="000000"/>
                <w:kern w:val="0"/>
                <w:sz w:val="24"/>
              </w:rPr>
              <w:t>围绕盐湖度假小镇、岩盐文化街、岩盐养生膳食园、国际会议中心、盐湖康养园、中原第一死海盐湖水上乐园、盐文化主题公园、盐洛盐疗康养中心、国际盐湖水疗、各国风情温泉汤池盐湖、盐都文化馆、卧龙度假村、休闲公园等文旅项目，塑造中原死海</w:t>
            </w:r>
            <w:r>
              <w:rPr>
                <w:rFonts w:ascii="仿宋" w:hAnsi="仿宋" w:cs="宋体"/>
                <w:b/>
                <w:bCs/>
                <w:color w:val="000000"/>
                <w:kern w:val="0"/>
                <w:sz w:val="24"/>
              </w:rPr>
              <w:t>IP</w:t>
            </w:r>
            <w:r>
              <w:rPr>
                <w:rFonts w:ascii="仿宋" w:hAnsi="仿宋" w:cs="宋体"/>
                <w:color w:val="000000"/>
                <w:kern w:val="0"/>
                <w:sz w:val="24"/>
              </w:rPr>
              <w:t>品牌</w:t>
            </w:r>
            <w:r>
              <w:rPr>
                <w:rFonts w:hint="eastAsia" w:ascii="仿宋" w:hAnsi="仿宋" w:cs="宋体"/>
                <w:color w:val="000000"/>
                <w:kern w:val="0"/>
                <w:sz w:val="24"/>
              </w:rPr>
              <w:t>，</w:t>
            </w:r>
            <w:r>
              <w:rPr>
                <w:rFonts w:ascii="仿宋" w:hAnsi="仿宋" w:cs="宋体"/>
                <w:color w:val="000000"/>
                <w:kern w:val="0"/>
                <w:sz w:val="24"/>
              </w:rPr>
              <w:t>总投资10 亿元。</w:t>
            </w:r>
          </w:p>
        </w:tc>
        <w:tc>
          <w:tcPr>
            <w:tcW w:w="1753"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spacing w:line="240" w:lineRule="auto"/>
              <w:ind w:firstLine="0" w:firstLineChars="0"/>
              <w:jc w:val="left"/>
              <w:rPr>
                <w:rFonts w:ascii="仿宋" w:hAnsi="仿宋" w:cs="宋体"/>
                <w:color w:val="000000"/>
                <w:kern w:val="0"/>
                <w:sz w:val="24"/>
              </w:rPr>
            </w:pPr>
            <w:r>
              <w:rPr>
                <w:rFonts w:hint="eastAsia" w:ascii="仿宋" w:hAnsi="仿宋" w:cs="宋体"/>
                <w:color w:val="000000"/>
                <w:kern w:val="0"/>
                <w:sz w:val="24"/>
              </w:rPr>
              <w:t>叶县文化广电和旅游局</w:t>
            </w:r>
          </w:p>
        </w:tc>
      </w:tr>
    </w:tbl>
    <w:p>
      <w:pPr>
        <w:ind w:firstLine="0" w:firstLineChars="0"/>
      </w:pPr>
    </w:p>
    <w:sectPr>
      <w:pgSz w:w="16838" w:h="11906" w:orient="landscape"/>
      <w:pgMar w:top="1800" w:right="1440" w:bottom="1800" w:left="1440" w:header="851" w:footer="0"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auto"/>
    <w:pitch w:val="default"/>
    <w:sig w:usb0="00000001" w:usb1="080E0000" w:usb2="00000000" w:usb3="00000000" w:csb0="00040000" w:csb1="00000000"/>
  </w:font>
  <w:font w:name="MingLiU-ExtB">
    <w:altName w:val="Droid Sans Fallback"/>
    <w:panose1 w:val="02020500000000000000"/>
    <w:charset w:val="88"/>
    <w:family w:val="roman"/>
    <w:pitch w:val="default"/>
    <w:sig w:usb0="00000000" w:usb1="00000000" w:usb2="00000010" w:usb3="00000000" w:csb0="00100001" w:csb1="00000000"/>
  </w:font>
  <w:font w:name="等线">
    <w:altName w:val="华文仿宋"/>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10" w:usb3="00000000" w:csb0="0004009F" w:csb1="00000000"/>
  </w:font>
  <w:font w:name="PMingLiU">
    <w:altName w:val="Droid Sans Fallback"/>
    <w:panose1 w:val="02010601000101010101"/>
    <w:charset w:val="88"/>
    <w:family w:val="roman"/>
    <w:pitch w:val="default"/>
    <w:sig w:usb0="00000000" w:usb1="00000000" w:usb2="00000016" w:usb3="00000000" w:csb0="00100001" w:csb1="00000000"/>
  </w:font>
  <w:font w:name="Cambria Math">
    <w:altName w:val="DejaVu Math TeX Gyre"/>
    <w:panose1 w:val="02040503050406030204"/>
    <w:charset w:val="00"/>
    <w:family w:val="roman"/>
    <w:pitch w:val="default"/>
    <w:sig w:usb0="00000000" w:usb1="00000000" w:usb2="02000000" w:usb3="00000000" w:csb0="0000019F" w:csb1="00000000"/>
  </w:font>
  <w:font w:name="楷体_GB2312">
    <w:altName w:val="楷体"/>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 w:name="DejaVu Math TeX Gyre">
    <w:panose1 w:val="02000503000000000000"/>
    <w:charset w:val="00"/>
    <w:family w:val="auto"/>
    <w:pitch w:val="default"/>
    <w:sig w:usb0="A10000EF" w:usb1="4201F9EE" w:usb2="02000000" w:usb3="00000000" w:csb0="60000193" w:csb1="0DD40000"/>
  </w:font>
  <w:font w:name="华文仿宋">
    <w:panose1 w:val="02010600040101010101"/>
    <w:charset w:val="86"/>
    <w:family w:val="auto"/>
    <w:pitch w:val="default"/>
    <w:sig w:usb0="00000287" w:usb1="080F0000" w:usb2="00000000" w:usb3="00000000" w:csb0="0004009F" w:csb1="DFD7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087679"/>
      <w:showingPlcHdr/>
    </w:sdtPr>
    <w:sdtContent>
      <w:p>
        <w:pPr>
          <w:pStyle w:val="19"/>
          <w:ind w:firstLine="360"/>
          <w:jc w:val="center"/>
        </w:pPr>
      </w:p>
    </w:sdtContent>
  </w:sdt>
  <w:p>
    <w:pPr>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8185926"/>
    </w:sdtPr>
    <w:sdtContent>
      <w:p>
        <w:pPr>
          <w:pStyle w:val="19"/>
          <w:ind w:firstLine="360"/>
          <w:jc w:val="center"/>
        </w:pPr>
        <w:r>
          <w:fldChar w:fldCharType="begin"/>
        </w:r>
        <w:r>
          <w:instrText xml:space="preserve">PAGE   \* MERGEFORMAT</w:instrText>
        </w:r>
        <w:r>
          <w:fldChar w:fldCharType="separate"/>
        </w:r>
        <w:r>
          <w:rPr>
            <w:lang w:val="zh-CN"/>
          </w:rPr>
          <w:t>III</w:t>
        </w:r>
        <w:r>
          <w:rPr>
            <w:lang w:val="zh-CN"/>
          </w:rPr>
          <w:fldChar w:fldCharType="end"/>
        </w:r>
      </w:p>
    </w:sdtContent>
  </w:sdt>
  <w:p>
    <w:pPr>
      <w:ind w:firstLine="6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0106601"/>
    </w:sdtPr>
    <w:sdtContent>
      <w:p>
        <w:pPr>
          <w:pStyle w:val="19"/>
          <w:ind w:firstLine="360"/>
          <w:jc w:val="center"/>
        </w:pPr>
        <w:r>
          <w:fldChar w:fldCharType="begin"/>
        </w:r>
        <w:r>
          <w:instrText xml:space="preserve">PAGE   \* MERGEFORMAT</w:instrText>
        </w:r>
        <w:r>
          <w:fldChar w:fldCharType="separate"/>
        </w:r>
        <w:r>
          <w:rPr>
            <w:lang w:val="zh-CN"/>
          </w:rPr>
          <w:t>7</w:t>
        </w:r>
        <w:r>
          <w:rPr>
            <w:lang w:val="zh-CN"/>
          </w:rPr>
          <w:fldChar w:fldCharType="end"/>
        </w:r>
      </w:p>
    </w:sdtContent>
  </w:sdt>
  <w:p>
    <w:pPr>
      <w:ind w:firstLine="6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237243"/>
    </w:sdtPr>
    <w:sdtContent>
      <w:p>
        <w:pPr>
          <w:pStyle w:val="19"/>
          <w:ind w:firstLine="360"/>
          <w:jc w:val="center"/>
        </w:pPr>
        <w:r>
          <w:fldChar w:fldCharType="begin"/>
        </w:r>
        <w:r>
          <w:instrText xml:space="preserve">PAGE   \* MERGEFORMAT</w:instrText>
        </w:r>
        <w:r>
          <w:fldChar w:fldCharType="separate"/>
        </w:r>
        <w:r>
          <w:rPr>
            <w:lang w:val="zh-CN"/>
          </w:rPr>
          <w:t>58</w:t>
        </w:r>
        <w:r>
          <w:rPr>
            <w:lang w:val="zh-CN"/>
          </w:rPr>
          <w:fldChar w:fldCharType="end"/>
        </w:r>
      </w:p>
    </w:sdtContent>
  </w:sdt>
  <w:p>
    <w:pPr>
      <w:ind w:firstLine="6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C56C6"/>
    <w:multiLevelType w:val="multilevel"/>
    <w:tmpl w:val="282C56C6"/>
    <w:lvl w:ilvl="0" w:tentative="0">
      <w:start w:val="1"/>
      <w:numFmt w:val="decimal"/>
      <w:pStyle w:val="5"/>
      <w:lvlText w:val="(%1)"/>
      <w:lvlJc w:val="left"/>
      <w:pPr>
        <w:ind w:left="959" w:hanging="420"/>
      </w:pPr>
      <w:rPr>
        <w:rFonts w:hint="eastAsia"/>
      </w:rPr>
    </w:lvl>
    <w:lvl w:ilvl="1" w:tentative="0">
      <w:start w:val="1"/>
      <w:numFmt w:val="lowerLetter"/>
      <w:lvlText w:val="%2)"/>
      <w:lvlJc w:val="left"/>
      <w:pPr>
        <w:ind w:left="1379" w:hanging="420"/>
      </w:pPr>
    </w:lvl>
    <w:lvl w:ilvl="2" w:tentative="0">
      <w:start w:val="1"/>
      <w:numFmt w:val="lowerRoman"/>
      <w:lvlText w:val="%3."/>
      <w:lvlJc w:val="right"/>
      <w:pPr>
        <w:ind w:left="1799" w:hanging="420"/>
      </w:pPr>
    </w:lvl>
    <w:lvl w:ilvl="3" w:tentative="0">
      <w:start w:val="1"/>
      <w:numFmt w:val="decimal"/>
      <w:lvlText w:val="%4."/>
      <w:lvlJc w:val="left"/>
      <w:pPr>
        <w:ind w:left="2219" w:hanging="420"/>
      </w:pPr>
    </w:lvl>
    <w:lvl w:ilvl="4" w:tentative="0">
      <w:start w:val="1"/>
      <w:numFmt w:val="lowerLetter"/>
      <w:lvlText w:val="%5)"/>
      <w:lvlJc w:val="left"/>
      <w:pPr>
        <w:ind w:left="2639" w:hanging="420"/>
      </w:pPr>
    </w:lvl>
    <w:lvl w:ilvl="5" w:tentative="0">
      <w:start w:val="1"/>
      <w:numFmt w:val="lowerRoman"/>
      <w:lvlText w:val="%6."/>
      <w:lvlJc w:val="right"/>
      <w:pPr>
        <w:ind w:left="3059" w:hanging="420"/>
      </w:pPr>
    </w:lvl>
    <w:lvl w:ilvl="6" w:tentative="0">
      <w:start w:val="1"/>
      <w:numFmt w:val="decimal"/>
      <w:lvlText w:val="%7."/>
      <w:lvlJc w:val="left"/>
      <w:pPr>
        <w:ind w:left="3479" w:hanging="420"/>
      </w:pPr>
    </w:lvl>
    <w:lvl w:ilvl="7" w:tentative="0">
      <w:start w:val="1"/>
      <w:numFmt w:val="lowerLetter"/>
      <w:lvlText w:val="%8)"/>
      <w:lvlJc w:val="left"/>
      <w:pPr>
        <w:ind w:left="3899" w:hanging="420"/>
      </w:pPr>
    </w:lvl>
    <w:lvl w:ilvl="8" w:tentative="0">
      <w:start w:val="1"/>
      <w:numFmt w:val="lowerRoman"/>
      <w:lvlText w:val="%9."/>
      <w:lvlJc w:val="right"/>
      <w:pPr>
        <w:ind w:left="43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xMTIwMjE5ZmIyZTBiZGExYjFhOTRkYWYyZTZjNjYifQ=="/>
  </w:docVars>
  <w:rsids>
    <w:rsidRoot w:val="006E5DC7"/>
    <w:rsid w:val="0000007F"/>
    <w:rsid w:val="000016CC"/>
    <w:rsid w:val="00002409"/>
    <w:rsid w:val="00002D2D"/>
    <w:rsid w:val="00002F79"/>
    <w:rsid w:val="000034AD"/>
    <w:rsid w:val="00003667"/>
    <w:rsid w:val="000041B5"/>
    <w:rsid w:val="00004E0E"/>
    <w:rsid w:val="00005027"/>
    <w:rsid w:val="000057DC"/>
    <w:rsid w:val="00005CB4"/>
    <w:rsid w:val="00005D26"/>
    <w:rsid w:val="00005DEE"/>
    <w:rsid w:val="0000601C"/>
    <w:rsid w:val="00006038"/>
    <w:rsid w:val="000070B3"/>
    <w:rsid w:val="00007927"/>
    <w:rsid w:val="00007AD1"/>
    <w:rsid w:val="00010006"/>
    <w:rsid w:val="00010033"/>
    <w:rsid w:val="00010152"/>
    <w:rsid w:val="000107FC"/>
    <w:rsid w:val="00010A64"/>
    <w:rsid w:val="0001219C"/>
    <w:rsid w:val="000124CE"/>
    <w:rsid w:val="000128D1"/>
    <w:rsid w:val="0001344D"/>
    <w:rsid w:val="0001369B"/>
    <w:rsid w:val="00013EEB"/>
    <w:rsid w:val="0001413F"/>
    <w:rsid w:val="00015C2D"/>
    <w:rsid w:val="00015D67"/>
    <w:rsid w:val="0001642B"/>
    <w:rsid w:val="00017361"/>
    <w:rsid w:val="0001796B"/>
    <w:rsid w:val="00017E50"/>
    <w:rsid w:val="00021090"/>
    <w:rsid w:val="000214A4"/>
    <w:rsid w:val="00021552"/>
    <w:rsid w:val="00022974"/>
    <w:rsid w:val="00022A55"/>
    <w:rsid w:val="00022D55"/>
    <w:rsid w:val="00023429"/>
    <w:rsid w:val="00023EA3"/>
    <w:rsid w:val="00024521"/>
    <w:rsid w:val="00024EE3"/>
    <w:rsid w:val="0002576A"/>
    <w:rsid w:val="00026182"/>
    <w:rsid w:val="00026D53"/>
    <w:rsid w:val="00027298"/>
    <w:rsid w:val="000272B4"/>
    <w:rsid w:val="00027821"/>
    <w:rsid w:val="000300EB"/>
    <w:rsid w:val="00030938"/>
    <w:rsid w:val="0003166F"/>
    <w:rsid w:val="00032329"/>
    <w:rsid w:val="000327C1"/>
    <w:rsid w:val="0003326F"/>
    <w:rsid w:val="00033470"/>
    <w:rsid w:val="0003415E"/>
    <w:rsid w:val="00034823"/>
    <w:rsid w:val="000348C6"/>
    <w:rsid w:val="00035240"/>
    <w:rsid w:val="00035DE0"/>
    <w:rsid w:val="00036B2A"/>
    <w:rsid w:val="0003746D"/>
    <w:rsid w:val="000374CB"/>
    <w:rsid w:val="00037680"/>
    <w:rsid w:val="0004098F"/>
    <w:rsid w:val="000423F1"/>
    <w:rsid w:val="0004256C"/>
    <w:rsid w:val="00042ED9"/>
    <w:rsid w:val="0004351E"/>
    <w:rsid w:val="0004388A"/>
    <w:rsid w:val="00044D73"/>
    <w:rsid w:val="00045188"/>
    <w:rsid w:val="00045A70"/>
    <w:rsid w:val="00046049"/>
    <w:rsid w:val="00046A7A"/>
    <w:rsid w:val="00046C2A"/>
    <w:rsid w:val="000476CF"/>
    <w:rsid w:val="00047733"/>
    <w:rsid w:val="000505BC"/>
    <w:rsid w:val="00050794"/>
    <w:rsid w:val="000519A7"/>
    <w:rsid w:val="00052145"/>
    <w:rsid w:val="00052898"/>
    <w:rsid w:val="00052C97"/>
    <w:rsid w:val="00053410"/>
    <w:rsid w:val="00053659"/>
    <w:rsid w:val="000538E4"/>
    <w:rsid w:val="00053D4F"/>
    <w:rsid w:val="00054435"/>
    <w:rsid w:val="000544D9"/>
    <w:rsid w:val="0005469E"/>
    <w:rsid w:val="00054749"/>
    <w:rsid w:val="000550F5"/>
    <w:rsid w:val="000552DA"/>
    <w:rsid w:val="0005547C"/>
    <w:rsid w:val="000558AE"/>
    <w:rsid w:val="00056255"/>
    <w:rsid w:val="00056641"/>
    <w:rsid w:val="0005680A"/>
    <w:rsid w:val="00057391"/>
    <w:rsid w:val="0006077F"/>
    <w:rsid w:val="00061612"/>
    <w:rsid w:val="000616D3"/>
    <w:rsid w:val="0006336F"/>
    <w:rsid w:val="00063812"/>
    <w:rsid w:val="0006679A"/>
    <w:rsid w:val="000676A6"/>
    <w:rsid w:val="0006781B"/>
    <w:rsid w:val="00067CE7"/>
    <w:rsid w:val="0007017D"/>
    <w:rsid w:val="0007102D"/>
    <w:rsid w:val="000718CF"/>
    <w:rsid w:val="00071B19"/>
    <w:rsid w:val="000728BE"/>
    <w:rsid w:val="00072BE7"/>
    <w:rsid w:val="00072DDE"/>
    <w:rsid w:val="00074580"/>
    <w:rsid w:val="0007461E"/>
    <w:rsid w:val="00074A5D"/>
    <w:rsid w:val="000756D0"/>
    <w:rsid w:val="000757CE"/>
    <w:rsid w:val="00075ADD"/>
    <w:rsid w:val="000774F0"/>
    <w:rsid w:val="000815AF"/>
    <w:rsid w:val="00081899"/>
    <w:rsid w:val="000823C7"/>
    <w:rsid w:val="0008247F"/>
    <w:rsid w:val="000829CA"/>
    <w:rsid w:val="00082D65"/>
    <w:rsid w:val="000830CC"/>
    <w:rsid w:val="000846AF"/>
    <w:rsid w:val="00084984"/>
    <w:rsid w:val="000849B8"/>
    <w:rsid w:val="000849EE"/>
    <w:rsid w:val="000851A6"/>
    <w:rsid w:val="000858D4"/>
    <w:rsid w:val="00085C5E"/>
    <w:rsid w:val="000869EC"/>
    <w:rsid w:val="0008795B"/>
    <w:rsid w:val="00087FC6"/>
    <w:rsid w:val="00090E95"/>
    <w:rsid w:val="000913B0"/>
    <w:rsid w:val="0009141A"/>
    <w:rsid w:val="00091E36"/>
    <w:rsid w:val="000928B6"/>
    <w:rsid w:val="00092B8F"/>
    <w:rsid w:val="00093364"/>
    <w:rsid w:val="00093777"/>
    <w:rsid w:val="00093DCC"/>
    <w:rsid w:val="0009541B"/>
    <w:rsid w:val="00095534"/>
    <w:rsid w:val="00095B80"/>
    <w:rsid w:val="000962C8"/>
    <w:rsid w:val="000967AE"/>
    <w:rsid w:val="0009683B"/>
    <w:rsid w:val="00096843"/>
    <w:rsid w:val="00096CC3"/>
    <w:rsid w:val="00097245"/>
    <w:rsid w:val="0009780D"/>
    <w:rsid w:val="00097B49"/>
    <w:rsid w:val="000A054A"/>
    <w:rsid w:val="000A1A1B"/>
    <w:rsid w:val="000A26D3"/>
    <w:rsid w:val="000A393D"/>
    <w:rsid w:val="000A3B5C"/>
    <w:rsid w:val="000A3FDE"/>
    <w:rsid w:val="000A4509"/>
    <w:rsid w:val="000A68B2"/>
    <w:rsid w:val="000A68FD"/>
    <w:rsid w:val="000A767B"/>
    <w:rsid w:val="000A7728"/>
    <w:rsid w:val="000A7DAF"/>
    <w:rsid w:val="000B019C"/>
    <w:rsid w:val="000B0633"/>
    <w:rsid w:val="000B1A7C"/>
    <w:rsid w:val="000B1E2B"/>
    <w:rsid w:val="000B1E44"/>
    <w:rsid w:val="000B2435"/>
    <w:rsid w:val="000B2B31"/>
    <w:rsid w:val="000B2F6E"/>
    <w:rsid w:val="000B3567"/>
    <w:rsid w:val="000B3D86"/>
    <w:rsid w:val="000B3E46"/>
    <w:rsid w:val="000B4296"/>
    <w:rsid w:val="000B4D5D"/>
    <w:rsid w:val="000B5CAD"/>
    <w:rsid w:val="000B5F1A"/>
    <w:rsid w:val="000B60AD"/>
    <w:rsid w:val="000B6124"/>
    <w:rsid w:val="000B66B7"/>
    <w:rsid w:val="000B68A4"/>
    <w:rsid w:val="000B6B3B"/>
    <w:rsid w:val="000B6F64"/>
    <w:rsid w:val="000B74A7"/>
    <w:rsid w:val="000B75AB"/>
    <w:rsid w:val="000B77EE"/>
    <w:rsid w:val="000C06A5"/>
    <w:rsid w:val="000C0DD5"/>
    <w:rsid w:val="000C0ED5"/>
    <w:rsid w:val="000C1AF5"/>
    <w:rsid w:val="000C2754"/>
    <w:rsid w:val="000C2815"/>
    <w:rsid w:val="000C2F8F"/>
    <w:rsid w:val="000C3303"/>
    <w:rsid w:val="000C400C"/>
    <w:rsid w:val="000C411C"/>
    <w:rsid w:val="000C477B"/>
    <w:rsid w:val="000C4E8A"/>
    <w:rsid w:val="000C5424"/>
    <w:rsid w:val="000C5D04"/>
    <w:rsid w:val="000C5E9C"/>
    <w:rsid w:val="000C60B8"/>
    <w:rsid w:val="000C61CD"/>
    <w:rsid w:val="000C67ED"/>
    <w:rsid w:val="000C78F2"/>
    <w:rsid w:val="000C7F7C"/>
    <w:rsid w:val="000D078F"/>
    <w:rsid w:val="000D122F"/>
    <w:rsid w:val="000D13CB"/>
    <w:rsid w:val="000D17B9"/>
    <w:rsid w:val="000D1C16"/>
    <w:rsid w:val="000D1F64"/>
    <w:rsid w:val="000D2036"/>
    <w:rsid w:val="000D21A3"/>
    <w:rsid w:val="000D2423"/>
    <w:rsid w:val="000D253B"/>
    <w:rsid w:val="000D37A7"/>
    <w:rsid w:val="000D3C29"/>
    <w:rsid w:val="000D4792"/>
    <w:rsid w:val="000D5A43"/>
    <w:rsid w:val="000D6552"/>
    <w:rsid w:val="000D669C"/>
    <w:rsid w:val="000D6B7A"/>
    <w:rsid w:val="000D7BD7"/>
    <w:rsid w:val="000E076A"/>
    <w:rsid w:val="000E145D"/>
    <w:rsid w:val="000E1E14"/>
    <w:rsid w:val="000E3248"/>
    <w:rsid w:val="000E420D"/>
    <w:rsid w:val="000E4683"/>
    <w:rsid w:val="000E57D5"/>
    <w:rsid w:val="000E583A"/>
    <w:rsid w:val="000E5A66"/>
    <w:rsid w:val="000E5AE1"/>
    <w:rsid w:val="000E6D66"/>
    <w:rsid w:val="000E72B7"/>
    <w:rsid w:val="000E74F7"/>
    <w:rsid w:val="000E7557"/>
    <w:rsid w:val="000E7558"/>
    <w:rsid w:val="000E7600"/>
    <w:rsid w:val="000E7C48"/>
    <w:rsid w:val="000F05EC"/>
    <w:rsid w:val="000F0D70"/>
    <w:rsid w:val="000F1244"/>
    <w:rsid w:val="000F2C85"/>
    <w:rsid w:val="000F376C"/>
    <w:rsid w:val="000F3A5F"/>
    <w:rsid w:val="000F3ACB"/>
    <w:rsid w:val="000F424B"/>
    <w:rsid w:val="000F4CFC"/>
    <w:rsid w:val="000F5330"/>
    <w:rsid w:val="000F5540"/>
    <w:rsid w:val="000F55E7"/>
    <w:rsid w:val="000F5787"/>
    <w:rsid w:val="000F5823"/>
    <w:rsid w:val="000F60D9"/>
    <w:rsid w:val="000F681D"/>
    <w:rsid w:val="000F6FED"/>
    <w:rsid w:val="000F7451"/>
    <w:rsid w:val="000F76C5"/>
    <w:rsid w:val="000F7928"/>
    <w:rsid w:val="00100D0A"/>
    <w:rsid w:val="0010144F"/>
    <w:rsid w:val="00101B18"/>
    <w:rsid w:val="00101EB7"/>
    <w:rsid w:val="001021F5"/>
    <w:rsid w:val="00102478"/>
    <w:rsid w:val="0010248E"/>
    <w:rsid w:val="001029EE"/>
    <w:rsid w:val="00102A34"/>
    <w:rsid w:val="00102A68"/>
    <w:rsid w:val="00102B9F"/>
    <w:rsid w:val="001031FB"/>
    <w:rsid w:val="00103512"/>
    <w:rsid w:val="001037DB"/>
    <w:rsid w:val="001043EE"/>
    <w:rsid w:val="001045D6"/>
    <w:rsid w:val="001047D2"/>
    <w:rsid w:val="00105453"/>
    <w:rsid w:val="00105AE6"/>
    <w:rsid w:val="00105D1A"/>
    <w:rsid w:val="00105F95"/>
    <w:rsid w:val="001063DA"/>
    <w:rsid w:val="001065C2"/>
    <w:rsid w:val="001069B9"/>
    <w:rsid w:val="0010747C"/>
    <w:rsid w:val="00107653"/>
    <w:rsid w:val="00107EBA"/>
    <w:rsid w:val="00107FF6"/>
    <w:rsid w:val="00110774"/>
    <w:rsid w:val="001111C2"/>
    <w:rsid w:val="0011136C"/>
    <w:rsid w:val="00111656"/>
    <w:rsid w:val="001131F2"/>
    <w:rsid w:val="0011382F"/>
    <w:rsid w:val="001139C4"/>
    <w:rsid w:val="00114620"/>
    <w:rsid w:val="00114841"/>
    <w:rsid w:val="001148F0"/>
    <w:rsid w:val="00114FE2"/>
    <w:rsid w:val="00115F5A"/>
    <w:rsid w:val="00116107"/>
    <w:rsid w:val="001165A1"/>
    <w:rsid w:val="001172AD"/>
    <w:rsid w:val="001174D4"/>
    <w:rsid w:val="00117846"/>
    <w:rsid w:val="0011797B"/>
    <w:rsid w:val="00117CE0"/>
    <w:rsid w:val="00117EE5"/>
    <w:rsid w:val="00120776"/>
    <w:rsid w:val="00120A4A"/>
    <w:rsid w:val="00120FF3"/>
    <w:rsid w:val="0012170E"/>
    <w:rsid w:val="0012179A"/>
    <w:rsid w:val="00121ABA"/>
    <w:rsid w:val="00122BE6"/>
    <w:rsid w:val="00122C86"/>
    <w:rsid w:val="001234E4"/>
    <w:rsid w:val="0012382B"/>
    <w:rsid w:val="00123C2E"/>
    <w:rsid w:val="00123CDB"/>
    <w:rsid w:val="001244A3"/>
    <w:rsid w:val="00124885"/>
    <w:rsid w:val="00124913"/>
    <w:rsid w:val="00124C5F"/>
    <w:rsid w:val="001270EF"/>
    <w:rsid w:val="001270F3"/>
    <w:rsid w:val="00130086"/>
    <w:rsid w:val="00130942"/>
    <w:rsid w:val="00130BEE"/>
    <w:rsid w:val="00131680"/>
    <w:rsid w:val="0013215A"/>
    <w:rsid w:val="001328D5"/>
    <w:rsid w:val="001341D1"/>
    <w:rsid w:val="00134205"/>
    <w:rsid w:val="00134842"/>
    <w:rsid w:val="001348D3"/>
    <w:rsid w:val="00134A81"/>
    <w:rsid w:val="00134CAD"/>
    <w:rsid w:val="0013573C"/>
    <w:rsid w:val="00136402"/>
    <w:rsid w:val="0013684D"/>
    <w:rsid w:val="0013689D"/>
    <w:rsid w:val="00136BBD"/>
    <w:rsid w:val="00136CAB"/>
    <w:rsid w:val="001372FE"/>
    <w:rsid w:val="001373AE"/>
    <w:rsid w:val="001377A7"/>
    <w:rsid w:val="00137A9D"/>
    <w:rsid w:val="00137EB1"/>
    <w:rsid w:val="001402EA"/>
    <w:rsid w:val="0014038B"/>
    <w:rsid w:val="00140A30"/>
    <w:rsid w:val="00140C36"/>
    <w:rsid w:val="00140F93"/>
    <w:rsid w:val="00141027"/>
    <w:rsid w:val="00142E5A"/>
    <w:rsid w:val="00144A4A"/>
    <w:rsid w:val="00145586"/>
    <w:rsid w:val="00146B7B"/>
    <w:rsid w:val="00147D80"/>
    <w:rsid w:val="0015075F"/>
    <w:rsid w:val="001512A5"/>
    <w:rsid w:val="0015130D"/>
    <w:rsid w:val="00151D0A"/>
    <w:rsid w:val="0015225A"/>
    <w:rsid w:val="00152D18"/>
    <w:rsid w:val="00152FB4"/>
    <w:rsid w:val="00153D58"/>
    <w:rsid w:val="00154082"/>
    <w:rsid w:val="00154853"/>
    <w:rsid w:val="001557BB"/>
    <w:rsid w:val="00156A16"/>
    <w:rsid w:val="00157C1C"/>
    <w:rsid w:val="00161ADC"/>
    <w:rsid w:val="00161F37"/>
    <w:rsid w:val="00162870"/>
    <w:rsid w:val="00163011"/>
    <w:rsid w:val="0016336C"/>
    <w:rsid w:val="001633E0"/>
    <w:rsid w:val="001634D7"/>
    <w:rsid w:val="00163812"/>
    <w:rsid w:val="00163F6C"/>
    <w:rsid w:val="001645FB"/>
    <w:rsid w:val="001647D9"/>
    <w:rsid w:val="00164863"/>
    <w:rsid w:val="00165641"/>
    <w:rsid w:val="001670F2"/>
    <w:rsid w:val="00167E4B"/>
    <w:rsid w:val="001701CC"/>
    <w:rsid w:val="00171014"/>
    <w:rsid w:val="00171268"/>
    <w:rsid w:val="00172222"/>
    <w:rsid w:val="001722EC"/>
    <w:rsid w:val="0017285C"/>
    <w:rsid w:val="00172FCF"/>
    <w:rsid w:val="00173B93"/>
    <w:rsid w:val="00173E67"/>
    <w:rsid w:val="00174396"/>
    <w:rsid w:val="001751C7"/>
    <w:rsid w:val="00175419"/>
    <w:rsid w:val="00175473"/>
    <w:rsid w:val="00175A51"/>
    <w:rsid w:val="00175A9C"/>
    <w:rsid w:val="00175C02"/>
    <w:rsid w:val="00175C11"/>
    <w:rsid w:val="001762C8"/>
    <w:rsid w:val="001771F9"/>
    <w:rsid w:val="00177493"/>
    <w:rsid w:val="00177681"/>
    <w:rsid w:val="00180054"/>
    <w:rsid w:val="0018006A"/>
    <w:rsid w:val="0018080E"/>
    <w:rsid w:val="001809FB"/>
    <w:rsid w:val="00181588"/>
    <w:rsid w:val="001817C7"/>
    <w:rsid w:val="0018279B"/>
    <w:rsid w:val="00182A49"/>
    <w:rsid w:val="00182FFD"/>
    <w:rsid w:val="00183633"/>
    <w:rsid w:val="001838FE"/>
    <w:rsid w:val="00184EAE"/>
    <w:rsid w:val="001851FB"/>
    <w:rsid w:val="00185E1E"/>
    <w:rsid w:val="00186552"/>
    <w:rsid w:val="0018728D"/>
    <w:rsid w:val="00187440"/>
    <w:rsid w:val="001904D1"/>
    <w:rsid w:val="0019193F"/>
    <w:rsid w:val="00191F55"/>
    <w:rsid w:val="001921EA"/>
    <w:rsid w:val="00192792"/>
    <w:rsid w:val="00192AF4"/>
    <w:rsid w:val="00192DF5"/>
    <w:rsid w:val="00193B74"/>
    <w:rsid w:val="00193BD5"/>
    <w:rsid w:val="00194EB3"/>
    <w:rsid w:val="00195169"/>
    <w:rsid w:val="001957A8"/>
    <w:rsid w:val="001959BD"/>
    <w:rsid w:val="001968DC"/>
    <w:rsid w:val="00197283"/>
    <w:rsid w:val="00197D61"/>
    <w:rsid w:val="001A075C"/>
    <w:rsid w:val="001A103B"/>
    <w:rsid w:val="001A27A4"/>
    <w:rsid w:val="001A29EA"/>
    <w:rsid w:val="001A3972"/>
    <w:rsid w:val="001A3D2E"/>
    <w:rsid w:val="001A40AA"/>
    <w:rsid w:val="001A5C09"/>
    <w:rsid w:val="001A5F8D"/>
    <w:rsid w:val="001A670D"/>
    <w:rsid w:val="001A6AAB"/>
    <w:rsid w:val="001A6CBA"/>
    <w:rsid w:val="001A727D"/>
    <w:rsid w:val="001A75D2"/>
    <w:rsid w:val="001B0156"/>
    <w:rsid w:val="001B0486"/>
    <w:rsid w:val="001B119F"/>
    <w:rsid w:val="001B1D20"/>
    <w:rsid w:val="001B20AB"/>
    <w:rsid w:val="001B246F"/>
    <w:rsid w:val="001B2C83"/>
    <w:rsid w:val="001B2D05"/>
    <w:rsid w:val="001B2E77"/>
    <w:rsid w:val="001B303C"/>
    <w:rsid w:val="001B3581"/>
    <w:rsid w:val="001B35A1"/>
    <w:rsid w:val="001B431E"/>
    <w:rsid w:val="001B4E7B"/>
    <w:rsid w:val="001B5AB0"/>
    <w:rsid w:val="001B6D12"/>
    <w:rsid w:val="001B6DFE"/>
    <w:rsid w:val="001B6E61"/>
    <w:rsid w:val="001B7737"/>
    <w:rsid w:val="001C033E"/>
    <w:rsid w:val="001C120F"/>
    <w:rsid w:val="001C1401"/>
    <w:rsid w:val="001C155A"/>
    <w:rsid w:val="001C171A"/>
    <w:rsid w:val="001C1C85"/>
    <w:rsid w:val="001C362E"/>
    <w:rsid w:val="001C3822"/>
    <w:rsid w:val="001C3916"/>
    <w:rsid w:val="001C3974"/>
    <w:rsid w:val="001C3C05"/>
    <w:rsid w:val="001C3C41"/>
    <w:rsid w:val="001C3CAE"/>
    <w:rsid w:val="001C42C5"/>
    <w:rsid w:val="001C48CC"/>
    <w:rsid w:val="001C4DAC"/>
    <w:rsid w:val="001C507C"/>
    <w:rsid w:val="001C589E"/>
    <w:rsid w:val="001C5CE6"/>
    <w:rsid w:val="001C5D97"/>
    <w:rsid w:val="001C5F49"/>
    <w:rsid w:val="001C626E"/>
    <w:rsid w:val="001C7265"/>
    <w:rsid w:val="001C7561"/>
    <w:rsid w:val="001C7770"/>
    <w:rsid w:val="001D048B"/>
    <w:rsid w:val="001D0871"/>
    <w:rsid w:val="001D123E"/>
    <w:rsid w:val="001D13C3"/>
    <w:rsid w:val="001D1F73"/>
    <w:rsid w:val="001D2511"/>
    <w:rsid w:val="001D325D"/>
    <w:rsid w:val="001D3C00"/>
    <w:rsid w:val="001D3EC7"/>
    <w:rsid w:val="001D40AE"/>
    <w:rsid w:val="001D4753"/>
    <w:rsid w:val="001D486A"/>
    <w:rsid w:val="001D610E"/>
    <w:rsid w:val="001D6DCE"/>
    <w:rsid w:val="001D6F18"/>
    <w:rsid w:val="001D7D49"/>
    <w:rsid w:val="001D7F94"/>
    <w:rsid w:val="001E0248"/>
    <w:rsid w:val="001E0CE8"/>
    <w:rsid w:val="001E12B3"/>
    <w:rsid w:val="001E1D89"/>
    <w:rsid w:val="001E21AB"/>
    <w:rsid w:val="001E263B"/>
    <w:rsid w:val="001E2FA9"/>
    <w:rsid w:val="001E322E"/>
    <w:rsid w:val="001E3540"/>
    <w:rsid w:val="001E3B2F"/>
    <w:rsid w:val="001E3BCA"/>
    <w:rsid w:val="001E3C1D"/>
    <w:rsid w:val="001E44D6"/>
    <w:rsid w:val="001E54E3"/>
    <w:rsid w:val="001E56D8"/>
    <w:rsid w:val="001E5A08"/>
    <w:rsid w:val="001E5A2B"/>
    <w:rsid w:val="001E6685"/>
    <w:rsid w:val="001E6780"/>
    <w:rsid w:val="001E6A50"/>
    <w:rsid w:val="001E73E6"/>
    <w:rsid w:val="001E74C9"/>
    <w:rsid w:val="001E7C8D"/>
    <w:rsid w:val="001F04E7"/>
    <w:rsid w:val="001F13FA"/>
    <w:rsid w:val="001F1457"/>
    <w:rsid w:val="001F3D35"/>
    <w:rsid w:val="001F3FC3"/>
    <w:rsid w:val="001F45B7"/>
    <w:rsid w:val="001F55C2"/>
    <w:rsid w:val="001F5964"/>
    <w:rsid w:val="001F59A6"/>
    <w:rsid w:val="001F5A99"/>
    <w:rsid w:val="001F5E1F"/>
    <w:rsid w:val="001F6004"/>
    <w:rsid w:val="001F67E9"/>
    <w:rsid w:val="001F6B02"/>
    <w:rsid w:val="001F70C5"/>
    <w:rsid w:val="001F7A2D"/>
    <w:rsid w:val="001F7CEE"/>
    <w:rsid w:val="001F7FA0"/>
    <w:rsid w:val="002000C4"/>
    <w:rsid w:val="0020084B"/>
    <w:rsid w:val="00200BBF"/>
    <w:rsid w:val="0020107C"/>
    <w:rsid w:val="0020110B"/>
    <w:rsid w:val="0020140A"/>
    <w:rsid w:val="00201C10"/>
    <w:rsid w:val="00202270"/>
    <w:rsid w:val="00202643"/>
    <w:rsid w:val="002029F3"/>
    <w:rsid w:val="00202CD9"/>
    <w:rsid w:val="00202EA8"/>
    <w:rsid w:val="00202FBA"/>
    <w:rsid w:val="002030C5"/>
    <w:rsid w:val="002037FA"/>
    <w:rsid w:val="00203FB4"/>
    <w:rsid w:val="00204561"/>
    <w:rsid w:val="0020759E"/>
    <w:rsid w:val="002079E3"/>
    <w:rsid w:val="00207ACD"/>
    <w:rsid w:val="00207C00"/>
    <w:rsid w:val="002109B3"/>
    <w:rsid w:val="00210A33"/>
    <w:rsid w:val="00212C5C"/>
    <w:rsid w:val="00213130"/>
    <w:rsid w:val="00213333"/>
    <w:rsid w:val="002144DB"/>
    <w:rsid w:val="00214F6A"/>
    <w:rsid w:val="00215B6C"/>
    <w:rsid w:val="00215FAB"/>
    <w:rsid w:val="00216164"/>
    <w:rsid w:val="002167FF"/>
    <w:rsid w:val="00216ABD"/>
    <w:rsid w:val="00220860"/>
    <w:rsid w:val="00220A01"/>
    <w:rsid w:val="00220DEA"/>
    <w:rsid w:val="002217E2"/>
    <w:rsid w:val="0022180E"/>
    <w:rsid w:val="00221AD5"/>
    <w:rsid w:val="0022208A"/>
    <w:rsid w:val="002226A8"/>
    <w:rsid w:val="00223604"/>
    <w:rsid w:val="00223628"/>
    <w:rsid w:val="00223AEB"/>
    <w:rsid w:val="00223B78"/>
    <w:rsid w:val="00224C48"/>
    <w:rsid w:val="0022593D"/>
    <w:rsid w:val="00225AEB"/>
    <w:rsid w:val="002263F0"/>
    <w:rsid w:val="00226D28"/>
    <w:rsid w:val="00227260"/>
    <w:rsid w:val="002273DD"/>
    <w:rsid w:val="00227D67"/>
    <w:rsid w:val="0023028E"/>
    <w:rsid w:val="002309A2"/>
    <w:rsid w:val="00230CB4"/>
    <w:rsid w:val="00231305"/>
    <w:rsid w:val="002317CF"/>
    <w:rsid w:val="00231E2F"/>
    <w:rsid w:val="00232BF1"/>
    <w:rsid w:val="00233AFC"/>
    <w:rsid w:val="00233B4B"/>
    <w:rsid w:val="002347A1"/>
    <w:rsid w:val="00234AE8"/>
    <w:rsid w:val="0023571E"/>
    <w:rsid w:val="002358FE"/>
    <w:rsid w:val="00235FDA"/>
    <w:rsid w:val="00235FE8"/>
    <w:rsid w:val="00237C18"/>
    <w:rsid w:val="00237D62"/>
    <w:rsid w:val="002400E5"/>
    <w:rsid w:val="0024064B"/>
    <w:rsid w:val="00240936"/>
    <w:rsid w:val="00241A20"/>
    <w:rsid w:val="00241EED"/>
    <w:rsid w:val="00241FBB"/>
    <w:rsid w:val="002424EC"/>
    <w:rsid w:val="00242873"/>
    <w:rsid w:val="00242890"/>
    <w:rsid w:val="00242C41"/>
    <w:rsid w:val="002441DD"/>
    <w:rsid w:val="00244434"/>
    <w:rsid w:val="00244A1E"/>
    <w:rsid w:val="00244C5E"/>
    <w:rsid w:val="002453AC"/>
    <w:rsid w:val="002458DF"/>
    <w:rsid w:val="00245FD1"/>
    <w:rsid w:val="00246CD9"/>
    <w:rsid w:val="00246F00"/>
    <w:rsid w:val="00247E53"/>
    <w:rsid w:val="00251360"/>
    <w:rsid w:val="00253026"/>
    <w:rsid w:val="00253B4F"/>
    <w:rsid w:val="0025412D"/>
    <w:rsid w:val="00254392"/>
    <w:rsid w:val="0025464F"/>
    <w:rsid w:val="00254726"/>
    <w:rsid w:val="002552D6"/>
    <w:rsid w:val="0025567E"/>
    <w:rsid w:val="0025585B"/>
    <w:rsid w:val="002559E6"/>
    <w:rsid w:val="00255C9F"/>
    <w:rsid w:val="00256856"/>
    <w:rsid w:val="002568B7"/>
    <w:rsid w:val="00256D88"/>
    <w:rsid w:val="0025723D"/>
    <w:rsid w:val="00257E78"/>
    <w:rsid w:val="002601D6"/>
    <w:rsid w:val="002602DA"/>
    <w:rsid w:val="00260331"/>
    <w:rsid w:val="00261196"/>
    <w:rsid w:val="00261220"/>
    <w:rsid w:val="0026134E"/>
    <w:rsid w:val="002626D5"/>
    <w:rsid w:val="00263317"/>
    <w:rsid w:val="0026345F"/>
    <w:rsid w:val="0026437C"/>
    <w:rsid w:val="0026445F"/>
    <w:rsid w:val="00266644"/>
    <w:rsid w:val="00266B07"/>
    <w:rsid w:val="00266ED4"/>
    <w:rsid w:val="00267313"/>
    <w:rsid w:val="00267DDE"/>
    <w:rsid w:val="00267FA9"/>
    <w:rsid w:val="00270783"/>
    <w:rsid w:val="002711AF"/>
    <w:rsid w:val="00271960"/>
    <w:rsid w:val="00271A9B"/>
    <w:rsid w:val="0027249D"/>
    <w:rsid w:val="0027294D"/>
    <w:rsid w:val="00272EB9"/>
    <w:rsid w:val="00273264"/>
    <w:rsid w:val="00273948"/>
    <w:rsid w:val="00273A0D"/>
    <w:rsid w:val="0027441F"/>
    <w:rsid w:val="00275144"/>
    <w:rsid w:val="00275245"/>
    <w:rsid w:val="0027557A"/>
    <w:rsid w:val="0027621F"/>
    <w:rsid w:val="00276B9B"/>
    <w:rsid w:val="002778F0"/>
    <w:rsid w:val="002800BE"/>
    <w:rsid w:val="002803CF"/>
    <w:rsid w:val="00280ADF"/>
    <w:rsid w:val="0028109E"/>
    <w:rsid w:val="00281545"/>
    <w:rsid w:val="00282301"/>
    <w:rsid w:val="00282305"/>
    <w:rsid w:val="002823E2"/>
    <w:rsid w:val="002830B2"/>
    <w:rsid w:val="00283D3A"/>
    <w:rsid w:val="0028444F"/>
    <w:rsid w:val="00285A6B"/>
    <w:rsid w:val="00285BD2"/>
    <w:rsid w:val="00285EE4"/>
    <w:rsid w:val="002862A4"/>
    <w:rsid w:val="00286DCB"/>
    <w:rsid w:val="00287034"/>
    <w:rsid w:val="002879EC"/>
    <w:rsid w:val="00287D26"/>
    <w:rsid w:val="00290917"/>
    <w:rsid w:val="00290EDD"/>
    <w:rsid w:val="002911ED"/>
    <w:rsid w:val="00291382"/>
    <w:rsid w:val="00291A5B"/>
    <w:rsid w:val="00291C18"/>
    <w:rsid w:val="00291C85"/>
    <w:rsid w:val="00291DDE"/>
    <w:rsid w:val="00293F78"/>
    <w:rsid w:val="00293F85"/>
    <w:rsid w:val="00294266"/>
    <w:rsid w:val="00294B66"/>
    <w:rsid w:val="002954FF"/>
    <w:rsid w:val="00295DC4"/>
    <w:rsid w:val="00295EBE"/>
    <w:rsid w:val="002962B5"/>
    <w:rsid w:val="00297637"/>
    <w:rsid w:val="00297C09"/>
    <w:rsid w:val="00297E32"/>
    <w:rsid w:val="002A04E5"/>
    <w:rsid w:val="002A07AD"/>
    <w:rsid w:val="002A097A"/>
    <w:rsid w:val="002A0C4D"/>
    <w:rsid w:val="002A1EC6"/>
    <w:rsid w:val="002A1F71"/>
    <w:rsid w:val="002A27E9"/>
    <w:rsid w:val="002A2F23"/>
    <w:rsid w:val="002A2FEF"/>
    <w:rsid w:val="002A30C7"/>
    <w:rsid w:val="002A4113"/>
    <w:rsid w:val="002A433D"/>
    <w:rsid w:val="002A4B70"/>
    <w:rsid w:val="002A6070"/>
    <w:rsid w:val="002A6087"/>
    <w:rsid w:val="002A6583"/>
    <w:rsid w:val="002A71BD"/>
    <w:rsid w:val="002A7746"/>
    <w:rsid w:val="002A7786"/>
    <w:rsid w:val="002A7BC6"/>
    <w:rsid w:val="002B0148"/>
    <w:rsid w:val="002B0D18"/>
    <w:rsid w:val="002B171F"/>
    <w:rsid w:val="002B1C0B"/>
    <w:rsid w:val="002B1DBE"/>
    <w:rsid w:val="002B2036"/>
    <w:rsid w:val="002B2257"/>
    <w:rsid w:val="002B48AB"/>
    <w:rsid w:val="002B520A"/>
    <w:rsid w:val="002B54A9"/>
    <w:rsid w:val="002B552C"/>
    <w:rsid w:val="002B59DF"/>
    <w:rsid w:val="002B6684"/>
    <w:rsid w:val="002B6BA4"/>
    <w:rsid w:val="002B6EC4"/>
    <w:rsid w:val="002B6EE6"/>
    <w:rsid w:val="002B7333"/>
    <w:rsid w:val="002B73C1"/>
    <w:rsid w:val="002B77D8"/>
    <w:rsid w:val="002C00BD"/>
    <w:rsid w:val="002C041B"/>
    <w:rsid w:val="002C0F56"/>
    <w:rsid w:val="002C13CE"/>
    <w:rsid w:val="002C1493"/>
    <w:rsid w:val="002C1CC9"/>
    <w:rsid w:val="002C2366"/>
    <w:rsid w:val="002C2513"/>
    <w:rsid w:val="002C253D"/>
    <w:rsid w:val="002C276E"/>
    <w:rsid w:val="002C465F"/>
    <w:rsid w:val="002C4B55"/>
    <w:rsid w:val="002C4CA5"/>
    <w:rsid w:val="002C4EA4"/>
    <w:rsid w:val="002C590D"/>
    <w:rsid w:val="002C59FA"/>
    <w:rsid w:val="002C643F"/>
    <w:rsid w:val="002C6A76"/>
    <w:rsid w:val="002C7905"/>
    <w:rsid w:val="002C7AC7"/>
    <w:rsid w:val="002C7AFC"/>
    <w:rsid w:val="002C7E58"/>
    <w:rsid w:val="002D0482"/>
    <w:rsid w:val="002D10B2"/>
    <w:rsid w:val="002D10CC"/>
    <w:rsid w:val="002D1ACD"/>
    <w:rsid w:val="002D2246"/>
    <w:rsid w:val="002D30F5"/>
    <w:rsid w:val="002D528A"/>
    <w:rsid w:val="002D56F8"/>
    <w:rsid w:val="002D5B23"/>
    <w:rsid w:val="002D5BD7"/>
    <w:rsid w:val="002D62FE"/>
    <w:rsid w:val="002D635B"/>
    <w:rsid w:val="002D6583"/>
    <w:rsid w:val="002D6959"/>
    <w:rsid w:val="002D7770"/>
    <w:rsid w:val="002D7B6E"/>
    <w:rsid w:val="002E0FF7"/>
    <w:rsid w:val="002E15F8"/>
    <w:rsid w:val="002E1ACC"/>
    <w:rsid w:val="002E1EAA"/>
    <w:rsid w:val="002E3122"/>
    <w:rsid w:val="002E4DB7"/>
    <w:rsid w:val="002E5364"/>
    <w:rsid w:val="002E5804"/>
    <w:rsid w:val="002E77FD"/>
    <w:rsid w:val="002F0463"/>
    <w:rsid w:val="002F0FFA"/>
    <w:rsid w:val="002F1907"/>
    <w:rsid w:val="002F1CB7"/>
    <w:rsid w:val="002F1EC4"/>
    <w:rsid w:val="002F278A"/>
    <w:rsid w:val="002F2B3B"/>
    <w:rsid w:val="002F34E6"/>
    <w:rsid w:val="002F4275"/>
    <w:rsid w:val="002F4B0A"/>
    <w:rsid w:val="002F54DF"/>
    <w:rsid w:val="002F57D7"/>
    <w:rsid w:val="002F5804"/>
    <w:rsid w:val="002F5A66"/>
    <w:rsid w:val="002F5B68"/>
    <w:rsid w:val="002F5BEA"/>
    <w:rsid w:val="002F5F39"/>
    <w:rsid w:val="002F7081"/>
    <w:rsid w:val="002F71B5"/>
    <w:rsid w:val="00300359"/>
    <w:rsid w:val="003006E6"/>
    <w:rsid w:val="0030082D"/>
    <w:rsid w:val="00300B42"/>
    <w:rsid w:val="00301179"/>
    <w:rsid w:val="00301C2B"/>
    <w:rsid w:val="00302045"/>
    <w:rsid w:val="003028C1"/>
    <w:rsid w:val="00302E5F"/>
    <w:rsid w:val="00302EC1"/>
    <w:rsid w:val="003030EA"/>
    <w:rsid w:val="00304EE3"/>
    <w:rsid w:val="00305EE5"/>
    <w:rsid w:val="0030652D"/>
    <w:rsid w:val="00306ABA"/>
    <w:rsid w:val="00306D95"/>
    <w:rsid w:val="00306EB6"/>
    <w:rsid w:val="00307132"/>
    <w:rsid w:val="00307297"/>
    <w:rsid w:val="00307419"/>
    <w:rsid w:val="003076E1"/>
    <w:rsid w:val="00307861"/>
    <w:rsid w:val="00307FDA"/>
    <w:rsid w:val="0031030C"/>
    <w:rsid w:val="003103F1"/>
    <w:rsid w:val="00310848"/>
    <w:rsid w:val="00310A26"/>
    <w:rsid w:val="00310DC0"/>
    <w:rsid w:val="00312D86"/>
    <w:rsid w:val="003130AD"/>
    <w:rsid w:val="00313304"/>
    <w:rsid w:val="003136BE"/>
    <w:rsid w:val="003136D5"/>
    <w:rsid w:val="00313A90"/>
    <w:rsid w:val="00313E06"/>
    <w:rsid w:val="00313E6A"/>
    <w:rsid w:val="003145E2"/>
    <w:rsid w:val="003146CF"/>
    <w:rsid w:val="00315251"/>
    <w:rsid w:val="003162FC"/>
    <w:rsid w:val="00316440"/>
    <w:rsid w:val="00316812"/>
    <w:rsid w:val="00317291"/>
    <w:rsid w:val="0032050E"/>
    <w:rsid w:val="0032117C"/>
    <w:rsid w:val="0032177E"/>
    <w:rsid w:val="00322C29"/>
    <w:rsid w:val="00322D72"/>
    <w:rsid w:val="00322E5B"/>
    <w:rsid w:val="00323864"/>
    <w:rsid w:val="003241E8"/>
    <w:rsid w:val="00324EDD"/>
    <w:rsid w:val="0032539E"/>
    <w:rsid w:val="00325654"/>
    <w:rsid w:val="003257E8"/>
    <w:rsid w:val="00326F93"/>
    <w:rsid w:val="00327202"/>
    <w:rsid w:val="00327B03"/>
    <w:rsid w:val="00327C1C"/>
    <w:rsid w:val="00330E1E"/>
    <w:rsid w:val="00331450"/>
    <w:rsid w:val="003317BB"/>
    <w:rsid w:val="003318F0"/>
    <w:rsid w:val="0033262F"/>
    <w:rsid w:val="00333A5B"/>
    <w:rsid w:val="00334161"/>
    <w:rsid w:val="00334DD6"/>
    <w:rsid w:val="00335142"/>
    <w:rsid w:val="003354EB"/>
    <w:rsid w:val="00336387"/>
    <w:rsid w:val="0033648C"/>
    <w:rsid w:val="003368F4"/>
    <w:rsid w:val="00337162"/>
    <w:rsid w:val="00337D91"/>
    <w:rsid w:val="003402BE"/>
    <w:rsid w:val="0034042D"/>
    <w:rsid w:val="00340A1F"/>
    <w:rsid w:val="00340CA1"/>
    <w:rsid w:val="003412EA"/>
    <w:rsid w:val="0034173D"/>
    <w:rsid w:val="00341C87"/>
    <w:rsid w:val="00341DBE"/>
    <w:rsid w:val="00342B5B"/>
    <w:rsid w:val="00343433"/>
    <w:rsid w:val="00343439"/>
    <w:rsid w:val="0034462A"/>
    <w:rsid w:val="003454EF"/>
    <w:rsid w:val="00346728"/>
    <w:rsid w:val="0035094E"/>
    <w:rsid w:val="00350D73"/>
    <w:rsid w:val="00350FE1"/>
    <w:rsid w:val="0035140C"/>
    <w:rsid w:val="0035171F"/>
    <w:rsid w:val="00352464"/>
    <w:rsid w:val="003525E1"/>
    <w:rsid w:val="00352E96"/>
    <w:rsid w:val="00352F4E"/>
    <w:rsid w:val="00353884"/>
    <w:rsid w:val="00353AFE"/>
    <w:rsid w:val="00354059"/>
    <w:rsid w:val="003554CE"/>
    <w:rsid w:val="003560F7"/>
    <w:rsid w:val="003561B9"/>
    <w:rsid w:val="0035648E"/>
    <w:rsid w:val="00356718"/>
    <w:rsid w:val="00356777"/>
    <w:rsid w:val="003568B4"/>
    <w:rsid w:val="00356C69"/>
    <w:rsid w:val="003570D4"/>
    <w:rsid w:val="00357101"/>
    <w:rsid w:val="0035742E"/>
    <w:rsid w:val="00357449"/>
    <w:rsid w:val="00357D38"/>
    <w:rsid w:val="00360593"/>
    <w:rsid w:val="00360FFE"/>
    <w:rsid w:val="0036108E"/>
    <w:rsid w:val="0036115D"/>
    <w:rsid w:val="003612CE"/>
    <w:rsid w:val="003614E5"/>
    <w:rsid w:val="003617EC"/>
    <w:rsid w:val="00361BE9"/>
    <w:rsid w:val="00361D43"/>
    <w:rsid w:val="00362150"/>
    <w:rsid w:val="003625DF"/>
    <w:rsid w:val="003628A2"/>
    <w:rsid w:val="00363CD0"/>
    <w:rsid w:val="00364701"/>
    <w:rsid w:val="00364AD9"/>
    <w:rsid w:val="00366A51"/>
    <w:rsid w:val="00366D60"/>
    <w:rsid w:val="00366D79"/>
    <w:rsid w:val="003675E6"/>
    <w:rsid w:val="0036782B"/>
    <w:rsid w:val="00367A05"/>
    <w:rsid w:val="00370A54"/>
    <w:rsid w:val="0037159F"/>
    <w:rsid w:val="0037175C"/>
    <w:rsid w:val="00371C58"/>
    <w:rsid w:val="0037314B"/>
    <w:rsid w:val="00374134"/>
    <w:rsid w:val="0037496D"/>
    <w:rsid w:val="00375497"/>
    <w:rsid w:val="003759D2"/>
    <w:rsid w:val="00375D06"/>
    <w:rsid w:val="00375D79"/>
    <w:rsid w:val="00375F61"/>
    <w:rsid w:val="00376C88"/>
    <w:rsid w:val="00377315"/>
    <w:rsid w:val="0038086C"/>
    <w:rsid w:val="00380FF9"/>
    <w:rsid w:val="0038127F"/>
    <w:rsid w:val="00382190"/>
    <w:rsid w:val="003838C0"/>
    <w:rsid w:val="00384395"/>
    <w:rsid w:val="00384507"/>
    <w:rsid w:val="00384922"/>
    <w:rsid w:val="00384D47"/>
    <w:rsid w:val="00385385"/>
    <w:rsid w:val="003853CB"/>
    <w:rsid w:val="003871C7"/>
    <w:rsid w:val="00390AEC"/>
    <w:rsid w:val="00390D22"/>
    <w:rsid w:val="00391D4B"/>
    <w:rsid w:val="00392397"/>
    <w:rsid w:val="00392A01"/>
    <w:rsid w:val="00392B0E"/>
    <w:rsid w:val="0039333A"/>
    <w:rsid w:val="00393C42"/>
    <w:rsid w:val="00395DA3"/>
    <w:rsid w:val="003969DF"/>
    <w:rsid w:val="00397E72"/>
    <w:rsid w:val="00397E9F"/>
    <w:rsid w:val="003A0A5E"/>
    <w:rsid w:val="003A28D5"/>
    <w:rsid w:val="003A2C8A"/>
    <w:rsid w:val="003A2CAF"/>
    <w:rsid w:val="003A2D9D"/>
    <w:rsid w:val="003A2F7B"/>
    <w:rsid w:val="003A302F"/>
    <w:rsid w:val="003A3315"/>
    <w:rsid w:val="003A3CDB"/>
    <w:rsid w:val="003A415D"/>
    <w:rsid w:val="003A420B"/>
    <w:rsid w:val="003A490F"/>
    <w:rsid w:val="003A5320"/>
    <w:rsid w:val="003A6FDA"/>
    <w:rsid w:val="003A74FE"/>
    <w:rsid w:val="003A7E06"/>
    <w:rsid w:val="003B01B5"/>
    <w:rsid w:val="003B0300"/>
    <w:rsid w:val="003B1266"/>
    <w:rsid w:val="003B1CAD"/>
    <w:rsid w:val="003B266A"/>
    <w:rsid w:val="003B2A4B"/>
    <w:rsid w:val="003B2B46"/>
    <w:rsid w:val="003B2DB6"/>
    <w:rsid w:val="003B3DDB"/>
    <w:rsid w:val="003B3E43"/>
    <w:rsid w:val="003B3F69"/>
    <w:rsid w:val="003B4025"/>
    <w:rsid w:val="003B44F5"/>
    <w:rsid w:val="003B4665"/>
    <w:rsid w:val="003B47D6"/>
    <w:rsid w:val="003B492A"/>
    <w:rsid w:val="003B513E"/>
    <w:rsid w:val="003B5915"/>
    <w:rsid w:val="003B5C53"/>
    <w:rsid w:val="003B5D4F"/>
    <w:rsid w:val="003B5D6D"/>
    <w:rsid w:val="003B6473"/>
    <w:rsid w:val="003B6B29"/>
    <w:rsid w:val="003B6F57"/>
    <w:rsid w:val="003B7773"/>
    <w:rsid w:val="003C0356"/>
    <w:rsid w:val="003C0360"/>
    <w:rsid w:val="003C06E1"/>
    <w:rsid w:val="003C0915"/>
    <w:rsid w:val="003C0A3E"/>
    <w:rsid w:val="003C0E83"/>
    <w:rsid w:val="003C11DB"/>
    <w:rsid w:val="003C1979"/>
    <w:rsid w:val="003C26D3"/>
    <w:rsid w:val="003C2B6E"/>
    <w:rsid w:val="003C2B98"/>
    <w:rsid w:val="003C2F89"/>
    <w:rsid w:val="003C32C7"/>
    <w:rsid w:val="003C32EE"/>
    <w:rsid w:val="003C3ED0"/>
    <w:rsid w:val="003C4097"/>
    <w:rsid w:val="003C5E86"/>
    <w:rsid w:val="003C60D6"/>
    <w:rsid w:val="003C60E9"/>
    <w:rsid w:val="003C66F3"/>
    <w:rsid w:val="003C6D07"/>
    <w:rsid w:val="003C7192"/>
    <w:rsid w:val="003C72EE"/>
    <w:rsid w:val="003C759F"/>
    <w:rsid w:val="003D01F4"/>
    <w:rsid w:val="003D0902"/>
    <w:rsid w:val="003D145D"/>
    <w:rsid w:val="003D17BA"/>
    <w:rsid w:val="003D1DA6"/>
    <w:rsid w:val="003D1EC4"/>
    <w:rsid w:val="003D2108"/>
    <w:rsid w:val="003D325A"/>
    <w:rsid w:val="003D3A3E"/>
    <w:rsid w:val="003D3A84"/>
    <w:rsid w:val="003D3FC8"/>
    <w:rsid w:val="003D4324"/>
    <w:rsid w:val="003D4DE9"/>
    <w:rsid w:val="003D5390"/>
    <w:rsid w:val="003D5DF4"/>
    <w:rsid w:val="003D66A3"/>
    <w:rsid w:val="003D67A0"/>
    <w:rsid w:val="003D737A"/>
    <w:rsid w:val="003D753E"/>
    <w:rsid w:val="003E1549"/>
    <w:rsid w:val="003E1B1E"/>
    <w:rsid w:val="003E20C2"/>
    <w:rsid w:val="003E24E1"/>
    <w:rsid w:val="003E29AA"/>
    <w:rsid w:val="003E2B3A"/>
    <w:rsid w:val="003E2B9A"/>
    <w:rsid w:val="003E337D"/>
    <w:rsid w:val="003E3693"/>
    <w:rsid w:val="003E3A91"/>
    <w:rsid w:val="003E3D80"/>
    <w:rsid w:val="003E4132"/>
    <w:rsid w:val="003E476F"/>
    <w:rsid w:val="003E4940"/>
    <w:rsid w:val="003E7987"/>
    <w:rsid w:val="003E7DAA"/>
    <w:rsid w:val="003F03A9"/>
    <w:rsid w:val="003F07FF"/>
    <w:rsid w:val="003F0CBE"/>
    <w:rsid w:val="003F1338"/>
    <w:rsid w:val="003F1389"/>
    <w:rsid w:val="003F13F8"/>
    <w:rsid w:val="003F163F"/>
    <w:rsid w:val="003F16F8"/>
    <w:rsid w:val="003F1D88"/>
    <w:rsid w:val="003F1F31"/>
    <w:rsid w:val="003F3FA7"/>
    <w:rsid w:val="003F51D7"/>
    <w:rsid w:val="003F5FC3"/>
    <w:rsid w:val="003F60F2"/>
    <w:rsid w:val="003F637B"/>
    <w:rsid w:val="003F64BB"/>
    <w:rsid w:val="003F69C6"/>
    <w:rsid w:val="003F7122"/>
    <w:rsid w:val="003F7EDB"/>
    <w:rsid w:val="004003D5"/>
    <w:rsid w:val="00400788"/>
    <w:rsid w:val="004007A8"/>
    <w:rsid w:val="00401981"/>
    <w:rsid w:val="00401ACC"/>
    <w:rsid w:val="004023FE"/>
    <w:rsid w:val="00402B16"/>
    <w:rsid w:val="00402DC6"/>
    <w:rsid w:val="00404D45"/>
    <w:rsid w:val="00405D51"/>
    <w:rsid w:val="00407666"/>
    <w:rsid w:val="00407720"/>
    <w:rsid w:val="004079E2"/>
    <w:rsid w:val="00410BF4"/>
    <w:rsid w:val="00410DB0"/>
    <w:rsid w:val="004110B6"/>
    <w:rsid w:val="00411FDE"/>
    <w:rsid w:val="00412AF7"/>
    <w:rsid w:val="00412FF9"/>
    <w:rsid w:val="00413BB3"/>
    <w:rsid w:val="00413CDB"/>
    <w:rsid w:val="004147F3"/>
    <w:rsid w:val="004148EC"/>
    <w:rsid w:val="0041517F"/>
    <w:rsid w:val="004156F3"/>
    <w:rsid w:val="004167DC"/>
    <w:rsid w:val="00416D86"/>
    <w:rsid w:val="004172E4"/>
    <w:rsid w:val="0042137B"/>
    <w:rsid w:val="00421496"/>
    <w:rsid w:val="00421A73"/>
    <w:rsid w:val="0042226F"/>
    <w:rsid w:val="0042231E"/>
    <w:rsid w:val="0042266D"/>
    <w:rsid w:val="00423FC0"/>
    <w:rsid w:val="004254EF"/>
    <w:rsid w:val="004261A0"/>
    <w:rsid w:val="00426912"/>
    <w:rsid w:val="00426BC3"/>
    <w:rsid w:val="00426CE5"/>
    <w:rsid w:val="00427138"/>
    <w:rsid w:val="00427A41"/>
    <w:rsid w:val="00430F92"/>
    <w:rsid w:val="00432842"/>
    <w:rsid w:val="0043391A"/>
    <w:rsid w:val="004339C9"/>
    <w:rsid w:val="00434350"/>
    <w:rsid w:val="00434922"/>
    <w:rsid w:val="00434FB0"/>
    <w:rsid w:val="004350E1"/>
    <w:rsid w:val="0043562F"/>
    <w:rsid w:val="00435790"/>
    <w:rsid w:val="00435BB1"/>
    <w:rsid w:val="00435C90"/>
    <w:rsid w:val="00435F24"/>
    <w:rsid w:val="004377B1"/>
    <w:rsid w:val="00437CE6"/>
    <w:rsid w:val="0044113C"/>
    <w:rsid w:val="00441514"/>
    <w:rsid w:val="004418C6"/>
    <w:rsid w:val="00442006"/>
    <w:rsid w:val="0044213C"/>
    <w:rsid w:val="0044263F"/>
    <w:rsid w:val="004426D6"/>
    <w:rsid w:val="00442D3C"/>
    <w:rsid w:val="00442DF6"/>
    <w:rsid w:val="004432EF"/>
    <w:rsid w:val="004436F6"/>
    <w:rsid w:val="0044397E"/>
    <w:rsid w:val="00443D04"/>
    <w:rsid w:val="00443FB7"/>
    <w:rsid w:val="004443FC"/>
    <w:rsid w:val="0044485D"/>
    <w:rsid w:val="004459E5"/>
    <w:rsid w:val="0044632F"/>
    <w:rsid w:val="00446A89"/>
    <w:rsid w:val="00447245"/>
    <w:rsid w:val="00447A4E"/>
    <w:rsid w:val="00450151"/>
    <w:rsid w:val="004506E2"/>
    <w:rsid w:val="00450BD5"/>
    <w:rsid w:val="004526E3"/>
    <w:rsid w:val="00452CD2"/>
    <w:rsid w:val="00453C48"/>
    <w:rsid w:val="0045413C"/>
    <w:rsid w:val="00455D0F"/>
    <w:rsid w:val="004560FE"/>
    <w:rsid w:val="00456C55"/>
    <w:rsid w:val="004603D6"/>
    <w:rsid w:val="00460AD8"/>
    <w:rsid w:val="00461216"/>
    <w:rsid w:val="00461FFA"/>
    <w:rsid w:val="00462C23"/>
    <w:rsid w:val="00463F1D"/>
    <w:rsid w:val="00463F92"/>
    <w:rsid w:val="00464576"/>
    <w:rsid w:val="0046531A"/>
    <w:rsid w:val="00465509"/>
    <w:rsid w:val="0046700F"/>
    <w:rsid w:val="0046732C"/>
    <w:rsid w:val="0046748D"/>
    <w:rsid w:val="00470205"/>
    <w:rsid w:val="00470218"/>
    <w:rsid w:val="0047054A"/>
    <w:rsid w:val="004712CA"/>
    <w:rsid w:val="004713F7"/>
    <w:rsid w:val="00471A8F"/>
    <w:rsid w:val="00472526"/>
    <w:rsid w:val="00473D2B"/>
    <w:rsid w:val="0047416F"/>
    <w:rsid w:val="00474D78"/>
    <w:rsid w:val="004753C5"/>
    <w:rsid w:val="0047601C"/>
    <w:rsid w:val="00476092"/>
    <w:rsid w:val="004766DE"/>
    <w:rsid w:val="00476CA5"/>
    <w:rsid w:val="00476CD5"/>
    <w:rsid w:val="00477CC4"/>
    <w:rsid w:val="004804B9"/>
    <w:rsid w:val="00480B02"/>
    <w:rsid w:val="00481B05"/>
    <w:rsid w:val="004826A8"/>
    <w:rsid w:val="004848F8"/>
    <w:rsid w:val="00484F0A"/>
    <w:rsid w:val="00485185"/>
    <w:rsid w:val="00485D38"/>
    <w:rsid w:val="00486BFE"/>
    <w:rsid w:val="00487079"/>
    <w:rsid w:val="00487228"/>
    <w:rsid w:val="00487A55"/>
    <w:rsid w:val="00487C4D"/>
    <w:rsid w:val="00487F80"/>
    <w:rsid w:val="00490310"/>
    <w:rsid w:val="004912CC"/>
    <w:rsid w:val="00493FE9"/>
    <w:rsid w:val="004941F1"/>
    <w:rsid w:val="00495253"/>
    <w:rsid w:val="0049577E"/>
    <w:rsid w:val="004965D0"/>
    <w:rsid w:val="00497ACD"/>
    <w:rsid w:val="004A07AC"/>
    <w:rsid w:val="004A08EB"/>
    <w:rsid w:val="004A1327"/>
    <w:rsid w:val="004A1A8C"/>
    <w:rsid w:val="004A1ECB"/>
    <w:rsid w:val="004A25B8"/>
    <w:rsid w:val="004A28BD"/>
    <w:rsid w:val="004A30EA"/>
    <w:rsid w:val="004A38B6"/>
    <w:rsid w:val="004A3E45"/>
    <w:rsid w:val="004A422F"/>
    <w:rsid w:val="004A59CA"/>
    <w:rsid w:val="004A5F9A"/>
    <w:rsid w:val="004A6118"/>
    <w:rsid w:val="004A64E9"/>
    <w:rsid w:val="004A6550"/>
    <w:rsid w:val="004A6E76"/>
    <w:rsid w:val="004A7E22"/>
    <w:rsid w:val="004A7E92"/>
    <w:rsid w:val="004A7FDF"/>
    <w:rsid w:val="004B0017"/>
    <w:rsid w:val="004B05D7"/>
    <w:rsid w:val="004B0A9D"/>
    <w:rsid w:val="004B10A0"/>
    <w:rsid w:val="004B154F"/>
    <w:rsid w:val="004B20EC"/>
    <w:rsid w:val="004B24EC"/>
    <w:rsid w:val="004B3413"/>
    <w:rsid w:val="004B3D31"/>
    <w:rsid w:val="004B47AB"/>
    <w:rsid w:val="004B59DF"/>
    <w:rsid w:val="004B6ECD"/>
    <w:rsid w:val="004B774F"/>
    <w:rsid w:val="004B78D3"/>
    <w:rsid w:val="004B7E34"/>
    <w:rsid w:val="004C087F"/>
    <w:rsid w:val="004C1061"/>
    <w:rsid w:val="004C2365"/>
    <w:rsid w:val="004C2FEE"/>
    <w:rsid w:val="004C3582"/>
    <w:rsid w:val="004C45FA"/>
    <w:rsid w:val="004C4D11"/>
    <w:rsid w:val="004C595A"/>
    <w:rsid w:val="004C67C0"/>
    <w:rsid w:val="004C7E72"/>
    <w:rsid w:val="004D00F2"/>
    <w:rsid w:val="004D0167"/>
    <w:rsid w:val="004D0B1C"/>
    <w:rsid w:val="004D150C"/>
    <w:rsid w:val="004D163E"/>
    <w:rsid w:val="004D20B8"/>
    <w:rsid w:val="004D220C"/>
    <w:rsid w:val="004D242A"/>
    <w:rsid w:val="004D2C27"/>
    <w:rsid w:val="004D2DD9"/>
    <w:rsid w:val="004D2F27"/>
    <w:rsid w:val="004D34E2"/>
    <w:rsid w:val="004D3569"/>
    <w:rsid w:val="004D3CA9"/>
    <w:rsid w:val="004D4799"/>
    <w:rsid w:val="004D488A"/>
    <w:rsid w:val="004D4BD0"/>
    <w:rsid w:val="004D54B6"/>
    <w:rsid w:val="004E015E"/>
    <w:rsid w:val="004E0759"/>
    <w:rsid w:val="004E0E3C"/>
    <w:rsid w:val="004E0E3D"/>
    <w:rsid w:val="004E130B"/>
    <w:rsid w:val="004E156A"/>
    <w:rsid w:val="004E27FC"/>
    <w:rsid w:val="004E2CB6"/>
    <w:rsid w:val="004E376E"/>
    <w:rsid w:val="004E3FB3"/>
    <w:rsid w:val="004E6BF4"/>
    <w:rsid w:val="004F0146"/>
    <w:rsid w:val="004F01D5"/>
    <w:rsid w:val="004F0330"/>
    <w:rsid w:val="004F034F"/>
    <w:rsid w:val="004F05EB"/>
    <w:rsid w:val="004F0678"/>
    <w:rsid w:val="004F1794"/>
    <w:rsid w:val="004F1901"/>
    <w:rsid w:val="004F2AA7"/>
    <w:rsid w:val="004F2E7E"/>
    <w:rsid w:val="004F3BD9"/>
    <w:rsid w:val="004F3FC2"/>
    <w:rsid w:val="004F57A9"/>
    <w:rsid w:val="004F5875"/>
    <w:rsid w:val="004F6A4A"/>
    <w:rsid w:val="004F74FA"/>
    <w:rsid w:val="00500175"/>
    <w:rsid w:val="00500EDC"/>
    <w:rsid w:val="00500FC0"/>
    <w:rsid w:val="00501110"/>
    <w:rsid w:val="00501818"/>
    <w:rsid w:val="00501819"/>
    <w:rsid w:val="0050334B"/>
    <w:rsid w:val="00503F0E"/>
    <w:rsid w:val="00504A25"/>
    <w:rsid w:val="00505618"/>
    <w:rsid w:val="00505BAF"/>
    <w:rsid w:val="00505D06"/>
    <w:rsid w:val="00506BFA"/>
    <w:rsid w:val="0050788F"/>
    <w:rsid w:val="005079C1"/>
    <w:rsid w:val="00507DE8"/>
    <w:rsid w:val="0051036C"/>
    <w:rsid w:val="00510C67"/>
    <w:rsid w:val="0051166C"/>
    <w:rsid w:val="00512A7E"/>
    <w:rsid w:val="00512AEA"/>
    <w:rsid w:val="005130B5"/>
    <w:rsid w:val="005138E6"/>
    <w:rsid w:val="00514018"/>
    <w:rsid w:val="005146E6"/>
    <w:rsid w:val="00514C93"/>
    <w:rsid w:val="00514EEC"/>
    <w:rsid w:val="00514FC7"/>
    <w:rsid w:val="00515952"/>
    <w:rsid w:val="00515CA3"/>
    <w:rsid w:val="00515DCF"/>
    <w:rsid w:val="0051695B"/>
    <w:rsid w:val="00516A15"/>
    <w:rsid w:val="005177C4"/>
    <w:rsid w:val="00521E53"/>
    <w:rsid w:val="00522B31"/>
    <w:rsid w:val="00523315"/>
    <w:rsid w:val="005237A8"/>
    <w:rsid w:val="00523F0E"/>
    <w:rsid w:val="00525103"/>
    <w:rsid w:val="0052574C"/>
    <w:rsid w:val="0052668E"/>
    <w:rsid w:val="0052669F"/>
    <w:rsid w:val="00526EB7"/>
    <w:rsid w:val="005278E7"/>
    <w:rsid w:val="00527B53"/>
    <w:rsid w:val="00531116"/>
    <w:rsid w:val="00531247"/>
    <w:rsid w:val="005327A2"/>
    <w:rsid w:val="00532B1E"/>
    <w:rsid w:val="00532FE8"/>
    <w:rsid w:val="005339C2"/>
    <w:rsid w:val="00533BC4"/>
    <w:rsid w:val="00534AE1"/>
    <w:rsid w:val="00535046"/>
    <w:rsid w:val="00535047"/>
    <w:rsid w:val="00535715"/>
    <w:rsid w:val="00535C75"/>
    <w:rsid w:val="0053657D"/>
    <w:rsid w:val="00536970"/>
    <w:rsid w:val="00536978"/>
    <w:rsid w:val="005378A4"/>
    <w:rsid w:val="00540097"/>
    <w:rsid w:val="0054029F"/>
    <w:rsid w:val="00540350"/>
    <w:rsid w:val="00540515"/>
    <w:rsid w:val="00540DDF"/>
    <w:rsid w:val="00540E9D"/>
    <w:rsid w:val="00541B58"/>
    <w:rsid w:val="005428B8"/>
    <w:rsid w:val="00543486"/>
    <w:rsid w:val="00543558"/>
    <w:rsid w:val="005438A2"/>
    <w:rsid w:val="00543DC5"/>
    <w:rsid w:val="00544639"/>
    <w:rsid w:val="00544782"/>
    <w:rsid w:val="00545642"/>
    <w:rsid w:val="00545D90"/>
    <w:rsid w:val="005465DA"/>
    <w:rsid w:val="0054665E"/>
    <w:rsid w:val="00546B25"/>
    <w:rsid w:val="00546B9E"/>
    <w:rsid w:val="00547E38"/>
    <w:rsid w:val="00551B8C"/>
    <w:rsid w:val="00551D06"/>
    <w:rsid w:val="00551D2F"/>
    <w:rsid w:val="005523F1"/>
    <w:rsid w:val="00552A18"/>
    <w:rsid w:val="00552B57"/>
    <w:rsid w:val="00553D17"/>
    <w:rsid w:val="00554C02"/>
    <w:rsid w:val="00554E1F"/>
    <w:rsid w:val="00554F62"/>
    <w:rsid w:val="00555537"/>
    <w:rsid w:val="0055621A"/>
    <w:rsid w:val="00556F42"/>
    <w:rsid w:val="005578A5"/>
    <w:rsid w:val="0056027B"/>
    <w:rsid w:val="00560F84"/>
    <w:rsid w:val="00561573"/>
    <w:rsid w:val="0056190B"/>
    <w:rsid w:val="00561CB7"/>
    <w:rsid w:val="0056286F"/>
    <w:rsid w:val="00562D47"/>
    <w:rsid w:val="00563B04"/>
    <w:rsid w:val="00563E5D"/>
    <w:rsid w:val="00563F24"/>
    <w:rsid w:val="00565A6B"/>
    <w:rsid w:val="00565B78"/>
    <w:rsid w:val="00565BC1"/>
    <w:rsid w:val="00566AA4"/>
    <w:rsid w:val="00566B48"/>
    <w:rsid w:val="00566B5D"/>
    <w:rsid w:val="00566C92"/>
    <w:rsid w:val="00567C23"/>
    <w:rsid w:val="005704FD"/>
    <w:rsid w:val="00570665"/>
    <w:rsid w:val="00570D9B"/>
    <w:rsid w:val="005715A8"/>
    <w:rsid w:val="005715E3"/>
    <w:rsid w:val="00572085"/>
    <w:rsid w:val="00573355"/>
    <w:rsid w:val="005734D8"/>
    <w:rsid w:val="00573D2A"/>
    <w:rsid w:val="005747A2"/>
    <w:rsid w:val="005753D4"/>
    <w:rsid w:val="005760DA"/>
    <w:rsid w:val="00577E8D"/>
    <w:rsid w:val="00577FB4"/>
    <w:rsid w:val="0058021E"/>
    <w:rsid w:val="00580378"/>
    <w:rsid w:val="00580B8E"/>
    <w:rsid w:val="005814E7"/>
    <w:rsid w:val="00581909"/>
    <w:rsid w:val="00582AF2"/>
    <w:rsid w:val="00582D92"/>
    <w:rsid w:val="0058457E"/>
    <w:rsid w:val="00584B16"/>
    <w:rsid w:val="00584C58"/>
    <w:rsid w:val="0058509A"/>
    <w:rsid w:val="00585A60"/>
    <w:rsid w:val="005874B8"/>
    <w:rsid w:val="0058774A"/>
    <w:rsid w:val="00590237"/>
    <w:rsid w:val="00591EC5"/>
    <w:rsid w:val="0059220D"/>
    <w:rsid w:val="00592D8B"/>
    <w:rsid w:val="00594283"/>
    <w:rsid w:val="005945B6"/>
    <w:rsid w:val="0059470F"/>
    <w:rsid w:val="00594A53"/>
    <w:rsid w:val="00594C71"/>
    <w:rsid w:val="0059557C"/>
    <w:rsid w:val="005960D7"/>
    <w:rsid w:val="0059611B"/>
    <w:rsid w:val="005965D9"/>
    <w:rsid w:val="005A105F"/>
    <w:rsid w:val="005A1067"/>
    <w:rsid w:val="005A113D"/>
    <w:rsid w:val="005A12A4"/>
    <w:rsid w:val="005A1473"/>
    <w:rsid w:val="005A1BC0"/>
    <w:rsid w:val="005A2217"/>
    <w:rsid w:val="005A258A"/>
    <w:rsid w:val="005A2F77"/>
    <w:rsid w:val="005A3903"/>
    <w:rsid w:val="005A399A"/>
    <w:rsid w:val="005A3E92"/>
    <w:rsid w:val="005A41D1"/>
    <w:rsid w:val="005A4A0D"/>
    <w:rsid w:val="005A5998"/>
    <w:rsid w:val="005A68A0"/>
    <w:rsid w:val="005A6F88"/>
    <w:rsid w:val="005A7FF0"/>
    <w:rsid w:val="005B01E1"/>
    <w:rsid w:val="005B08D9"/>
    <w:rsid w:val="005B0A3D"/>
    <w:rsid w:val="005B11B0"/>
    <w:rsid w:val="005B166A"/>
    <w:rsid w:val="005B1E3E"/>
    <w:rsid w:val="005B20A1"/>
    <w:rsid w:val="005B20B0"/>
    <w:rsid w:val="005B4490"/>
    <w:rsid w:val="005B4630"/>
    <w:rsid w:val="005B5233"/>
    <w:rsid w:val="005B557E"/>
    <w:rsid w:val="005B7020"/>
    <w:rsid w:val="005B72D6"/>
    <w:rsid w:val="005B74C5"/>
    <w:rsid w:val="005B7502"/>
    <w:rsid w:val="005B75C6"/>
    <w:rsid w:val="005B7B6A"/>
    <w:rsid w:val="005C05D1"/>
    <w:rsid w:val="005C0711"/>
    <w:rsid w:val="005C114F"/>
    <w:rsid w:val="005C1194"/>
    <w:rsid w:val="005C1276"/>
    <w:rsid w:val="005C1AFE"/>
    <w:rsid w:val="005C23EF"/>
    <w:rsid w:val="005C402A"/>
    <w:rsid w:val="005C4974"/>
    <w:rsid w:val="005C60AF"/>
    <w:rsid w:val="005C659E"/>
    <w:rsid w:val="005C6611"/>
    <w:rsid w:val="005C6D83"/>
    <w:rsid w:val="005C73AB"/>
    <w:rsid w:val="005C7585"/>
    <w:rsid w:val="005C7909"/>
    <w:rsid w:val="005D02AF"/>
    <w:rsid w:val="005D0F76"/>
    <w:rsid w:val="005D14A1"/>
    <w:rsid w:val="005D18E1"/>
    <w:rsid w:val="005D33F2"/>
    <w:rsid w:val="005D3652"/>
    <w:rsid w:val="005D3A74"/>
    <w:rsid w:val="005D4A10"/>
    <w:rsid w:val="005D4B88"/>
    <w:rsid w:val="005D5226"/>
    <w:rsid w:val="005D6FA8"/>
    <w:rsid w:val="005E024C"/>
    <w:rsid w:val="005E0914"/>
    <w:rsid w:val="005E0A8A"/>
    <w:rsid w:val="005E0FE3"/>
    <w:rsid w:val="005E189F"/>
    <w:rsid w:val="005E1AF5"/>
    <w:rsid w:val="005E21F5"/>
    <w:rsid w:val="005E32A8"/>
    <w:rsid w:val="005E38AB"/>
    <w:rsid w:val="005E3987"/>
    <w:rsid w:val="005E4C6C"/>
    <w:rsid w:val="005E4FC4"/>
    <w:rsid w:val="005E59FD"/>
    <w:rsid w:val="005E68CD"/>
    <w:rsid w:val="005E6AF8"/>
    <w:rsid w:val="005E70E9"/>
    <w:rsid w:val="005E789C"/>
    <w:rsid w:val="005E78FA"/>
    <w:rsid w:val="005E7924"/>
    <w:rsid w:val="005F0A03"/>
    <w:rsid w:val="005F0A32"/>
    <w:rsid w:val="005F0EDF"/>
    <w:rsid w:val="005F1064"/>
    <w:rsid w:val="005F10BD"/>
    <w:rsid w:val="005F11CB"/>
    <w:rsid w:val="005F1936"/>
    <w:rsid w:val="005F20F4"/>
    <w:rsid w:val="005F21D7"/>
    <w:rsid w:val="005F2FA5"/>
    <w:rsid w:val="005F35F6"/>
    <w:rsid w:val="005F3EC2"/>
    <w:rsid w:val="005F4561"/>
    <w:rsid w:val="005F58AA"/>
    <w:rsid w:val="005F596E"/>
    <w:rsid w:val="005F5A7E"/>
    <w:rsid w:val="005F7CF1"/>
    <w:rsid w:val="005F7F28"/>
    <w:rsid w:val="006001C3"/>
    <w:rsid w:val="006012A2"/>
    <w:rsid w:val="0060152F"/>
    <w:rsid w:val="0060264F"/>
    <w:rsid w:val="006043BB"/>
    <w:rsid w:val="006046AE"/>
    <w:rsid w:val="006053FA"/>
    <w:rsid w:val="00605F02"/>
    <w:rsid w:val="006068BB"/>
    <w:rsid w:val="00607D11"/>
    <w:rsid w:val="00607EFE"/>
    <w:rsid w:val="00607F0E"/>
    <w:rsid w:val="006108C3"/>
    <w:rsid w:val="00610BBD"/>
    <w:rsid w:val="00610F57"/>
    <w:rsid w:val="00611809"/>
    <w:rsid w:val="00612FF5"/>
    <w:rsid w:val="00613047"/>
    <w:rsid w:val="0061360E"/>
    <w:rsid w:val="00613858"/>
    <w:rsid w:val="0061397E"/>
    <w:rsid w:val="00613EEC"/>
    <w:rsid w:val="00614382"/>
    <w:rsid w:val="006158D5"/>
    <w:rsid w:val="00615A6E"/>
    <w:rsid w:val="00615CAD"/>
    <w:rsid w:val="00615E2C"/>
    <w:rsid w:val="006162FF"/>
    <w:rsid w:val="00616447"/>
    <w:rsid w:val="006165B7"/>
    <w:rsid w:val="006165E1"/>
    <w:rsid w:val="00616A42"/>
    <w:rsid w:val="00616ABD"/>
    <w:rsid w:val="00617643"/>
    <w:rsid w:val="0061773B"/>
    <w:rsid w:val="00617F6B"/>
    <w:rsid w:val="00620571"/>
    <w:rsid w:val="00621070"/>
    <w:rsid w:val="006212DB"/>
    <w:rsid w:val="00621D48"/>
    <w:rsid w:val="00622163"/>
    <w:rsid w:val="006223F9"/>
    <w:rsid w:val="00622A0B"/>
    <w:rsid w:val="00622B34"/>
    <w:rsid w:val="00622B7C"/>
    <w:rsid w:val="00624380"/>
    <w:rsid w:val="00624656"/>
    <w:rsid w:val="00625372"/>
    <w:rsid w:val="006254FC"/>
    <w:rsid w:val="006268EA"/>
    <w:rsid w:val="00626F46"/>
    <w:rsid w:val="0062738F"/>
    <w:rsid w:val="006309C5"/>
    <w:rsid w:val="006312A1"/>
    <w:rsid w:val="0063192C"/>
    <w:rsid w:val="00632085"/>
    <w:rsid w:val="006330DC"/>
    <w:rsid w:val="0063395F"/>
    <w:rsid w:val="00634337"/>
    <w:rsid w:val="00634676"/>
    <w:rsid w:val="00634731"/>
    <w:rsid w:val="00634D2E"/>
    <w:rsid w:val="00634F71"/>
    <w:rsid w:val="0063585C"/>
    <w:rsid w:val="00635B26"/>
    <w:rsid w:val="00635D0C"/>
    <w:rsid w:val="00635D43"/>
    <w:rsid w:val="0063609C"/>
    <w:rsid w:val="00636D6E"/>
    <w:rsid w:val="00637F6C"/>
    <w:rsid w:val="00637FEC"/>
    <w:rsid w:val="0064111E"/>
    <w:rsid w:val="0064116B"/>
    <w:rsid w:val="00641E89"/>
    <w:rsid w:val="006420B0"/>
    <w:rsid w:val="00642955"/>
    <w:rsid w:val="00644067"/>
    <w:rsid w:val="006441A9"/>
    <w:rsid w:val="0064428E"/>
    <w:rsid w:val="00644568"/>
    <w:rsid w:val="00644D3F"/>
    <w:rsid w:val="00645006"/>
    <w:rsid w:val="006452E2"/>
    <w:rsid w:val="00645711"/>
    <w:rsid w:val="006462AF"/>
    <w:rsid w:val="0064797A"/>
    <w:rsid w:val="00647AE1"/>
    <w:rsid w:val="006503A7"/>
    <w:rsid w:val="0065058C"/>
    <w:rsid w:val="00650C62"/>
    <w:rsid w:val="00651048"/>
    <w:rsid w:val="00651BE7"/>
    <w:rsid w:val="0065292C"/>
    <w:rsid w:val="00654213"/>
    <w:rsid w:val="00654497"/>
    <w:rsid w:val="00654C30"/>
    <w:rsid w:val="00654DE7"/>
    <w:rsid w:val="00654E99"/>
    <w:rsid w:val="0065525F"/>
    <w:rsid w:val="00656D21"/>
    <w:rsid w:val="006573E0"/>
    <w:rsid w:val="006575B9"/>
    <w:rsid w:val="00657682"/>
    <w:rsid w:val="006579C2"/>
    <w:rsid w:val="00660980"/>
    <w:rsid w:val="00660A60"/>
    <w:rsid w:val="00660BD8"/>
    <w:rsid w:val="00660BDF"/>
    <w:rsid w:val="00660D14"/>
    <w:rsid w:val="006610E4"/>
    <w:rsid w:val="006620C1"/>
    <w:rsid w:val="006632BD"/>
    <w:rsid w:val="006632D0"/>
    <w:rsid w:val="006635FE"/>
    <w:rsid w:val="00663A84"/>
    <w:rsid w:val="00664537"/>
    <w:rsid w:val="00664D9B"/>
    <w:rsid w:val="00664FD7"/>
    <w:rsid w:val="00665E7A"/>
    <w:rsid w:val="00666180"/>
    <w:rsid w:val="00666575"/>
    <w:rsid w:val="00666D8F"/>
    <w:rsid w:val="006670A4"/>
    <w:rsid w:val="00670513"/>
    <w:rsid w:val="006712AB"/>
    <w:rsid w:val="00671719"/>
    <w:rsid w:val="00671C37"/>
    <w:rsid w:val="00672B25"/>
    <w:rsid w:val="00673693"/>
    <w:rsid w:val="00673716"/>
    <w:rsid w:val="0067432A"/>
    <w:rsid w:val="00674EEE"/>
    <w:rsid w:val="00675EE2"/>
    <w:rsid w:val="00676F87"/>
    <w:rsid w:val="006773A5"/>
    <w:rsid w:val="0067760D"/>
    <w:rsid w:val="00677F69"/>
    <w:rsid w:val="0068099D"/>
    <w:rsid w:val="0068122A"/>
    <w:rsid w:val="00681242"/>
    <w:rsid w:val="00681A28"/>
    <w:rsid w:val="00682441"/>
    <w:rsid w:val="00682B1C"/>
    <w:rsid w:val="00682E1A"/>
    <w:rsid w:val="00682E2A"/>
    <w:rsid w:val="00683173"/>
    <w:rsid w:val="00683CC5"/>
    <w:rsid w:val="00684794"/>
    <w:rsid w:val="00684A1C"/>
    <w:rsid w:val="00685355"/>
    <w:rsid w:val="00685A43"/>
    <w:rsid w:val="00686438"/>
    <w:rsid w:val="006877AE"/>
    <w:rsid w:val="006902CC"/>
    <w:rsid w:val="00690623"/>
    <w:rsid w:val="00690C06"/>
    <w:rsid w:val="00690F18"/>
    <w:rsid w:val="006923E2"/>
    <w:rsid w:val="00692640"/>
    <w:rsid w:val="0069275E"/>
    <w:rsid w:val="006929F5"/>
    <w:rsid w:val="00692E76"/>
    <w:rsid w:val="0069340F"/>
    <w:rsid w:val="00693A33"/>
    <w:rsid w:val="00694DB2"/>
    <w:rsid w:val="006953A9"/>
    <w:rsid w:val="006958BF"/>
    <w:rsid w:val="00695B2F"/>
    <w:rsid w:val="006966BB"/>
    <w:rsid w:val="00696BEE"/>
    <w:rsid w:val="006970FF"/>
    <w:rsid w:val="006A034A"/>
    <w:rsid w:val="006A11A6"/>
    <w:rsid w:val="006A15A4"/>
    <w:rsid w:val="006A18C7"/>
    <w:rsid w:val="006A35E1"/>
    <w:rsid w:val="006A3706"/>
    <w:rsid w:val="006A41B1"/>
    <w:rsid w:val="006A45B4"/>
    <w:rsid w:val="006A53CF"/>
    <w:rsid w:val="006A5A55"/>
    <w:rsid w:val="006A5ED3"/>
    <w:rsid w:val="006A673A"/>
    <w:rsid w:val="006A69F1"/>
    <w:rsid w:val="006A729A"/>
    <w:rsid w:val="006A754E"/>
    <w:rsid w:val="006A7DE7"/>
    <w:rsid w:val="006B0364"/>
    <w:rsid w:val="006B1076"/>
    <w:rsid w:val="006B1ABC"/>
    <w:rsid w:val="006B2A71"/>
    <w:rsid w:val="006B36F4"/>
    <w:rsid w:val="006B3D14"/>
    <w:rsid w:val="006B4656"/>
    <w:rsid w:val="006B489C"/>
    <w:rsid w:val="006B4D5B"/>
    <w:rsid w:val="006B52B6"/>
    <w:rsid w:val="006B56B7"/>
    <w:rsid w:val="006B77BF"/>
    <w:rsid w:val="006B7BD6"/>
    <w:rsid w:val="006C0F0B"/>
    <w:rsid w:val="006C15EA"/>
    <w:rsid w:val="006C1A08"/>
    <w:rsid w:val="006C1E84"/>
    <w:rsid w:val="006C2ABA"/>
    <w:rsid w:val="006C2B64"/>
    <w:rsid w:val="006C3680"/>
    <w:rsid w:val="006C37A2"/>
    <w:rsid w:val="006C3D0E"/>
    <w:rsid w:val="006C4029"/>
    <w:rsid w:val="006C4062"/>
    <w:rsid w:val="006C4D45"/>
    <w:rsid w:val="006C52A9"/>
    <w:rsid w:val="006C575D"/>
    <w:rsid w:val="006C664A"/>
    <w:rsid w:val="006C73CF"/>
    <w:rsid w:val="006D06F2"/>
    <w:rsid w:val="006D0700"/>
    <w:rsid w:val="006D0F34"/>
    <w:rsid w:val="006D183D"/>
    <w:rsid w:val="006D18FB"/>
    <w:rsid w:val="006D22EF"/>
    <w:rsid w:val="006D27E6"/>
    <w:rsid w:val="006D280C"/>
    <w:rsid w:val="006D2B59"/>
    <w:rsid w:val="006D37C4"/>
    <w:rsid w:val="006D4416"/>
    <w:rsid w:val="006D45AC"/>
    <w:rsid w:val="006D495B"/>
    <w:rsid w:val="006D5180"/>
    <w:rsid w:val="006D57B5"/>
    <w:rsid w:val="006D5CF6"/>
    <w:rsid w:val="006D5E7A"/>
    <w:rsid w:val="006D6A2B"/>
    <w:rsid w:val="006D75B3"/>
    <w:rsid w:val="006D78F6"/>
    <w:rsid w:val="006E04D8"/>
    <w:rsid w:val="006E07B3"/>
    <w:rsid w:val="006E0B56"/>
    <w:rsid w:val="006E0C0B"/>
    <w:rsid w:val="006E0F18"/>
    <w:rsid w:val="006E1DEE"/>
    <w:rsid w:val="006E22FF"/>
    <w:rsid w:val="006E3AC2"/>
    <w:rsid w:val="006E3C77"/>
    <w:rsid w:val="006E4181"/>
    <w:rsid w:val="006E5DC7"/>
    <w:rsid w:val="006E5F34"/>
    <w:rsid w:val="006E6350"/>
    <w:rsid w:val="006E65A8"/>
    <w:rsid w:val="006E719F"/>
    <w:rsid w:val="006E7465"/>
    <w:rsid w:val="006E7740"/>
    <w:rsid w:val="006E7D67"/>
    <w:rsid w:val="006E7F50"/>
    <w:rsid w:val="006F198B"/>
    <w:rsid w:val="006F29C7"/>
    <w:rsid w:val="006F2BC0"/>
    <w:rsid w:val="006F2C62"/>
    <w:rsid w:val="006F304D"/>
    <w:rsid w:val="006F3442"/>
    <w:rsid w:val="006F407B"/>
    <w:rsid w:val="006F4091"/>
    <w:rsid w:val="006F4454"/>
    <w:rsid w:val="006F4B6E"/>
    <w:rsid w:val="006F4EEA"/>
    <w:rsid w:val="006F5006"/>
    <w:rsid w:val="006F5920"/>
    <w:rsid w:val="006F5B2D"/>
    <w:rsid w:val="006F613E"/>
    <w:rsid w:val="006F7B54"/>
    <w:rsid w:val="00700CE5"/>
    <w:rsid w:val="00701247"/>
    <w:rsid w:val="007014B8"/>
    <w:rsid w:val="00701BD4"/>
    <w:rsid w:val="0070252A"/>
    <w:rsid w:val="0070277E"/>
    <w:rsid w:val="00702CF3"/>
    <w:rsid w:val="007035E3"/>
    <w:rsid w:val="007038A6"/>
    <w:rsid w:val="00703F63"/>
    <w:rsid w:val="00704063"/>
    <w:rsid w:val="007047D2"/>
    <w:rsid w:val="00704822"/>
    <w:rsid w:val="0070589C"/>
    <w:rsid w:val="00705ECE"/>
    <w:rsid w:val="00706D10"/>
    <w:rsid w:val="00707150"/>
    <w:rsid w:val="00707CEC"/>
    <w:rsid w:val="00710185"/>
    <w:rsid w:val="00710366"/>
    <w:rsid w:val="007106F2"/>
    <w:rsid w:val="007110AE"/>
    <w:rsid w:val="0071334A"/>
    <w:rsid w:val="00714506"/>
    <w:rsid w:val="00715090"/>
    <w:rsid w:val="00715730"/>
    <w:rsid w:val="00716A2E"/>
    <w:rsid w:val="00717A3F"/>
    <w:rsid w:val="00717D8D"/>
    <w:rsid w:val="00717EF1"/>
    <w:rsid w:val="00720209"/>
    <w:rsid w:val="007219B6"/>
    <w:rsid w:val="00721B7B"/>
    <w:rsid w:val="00722D0F"/>
    <w:rsid w:val="0072314F"/>
    <w:rsid w:val="00724111"/>
    <w:rsid w:val="007242C7"/>
    <w:rsid w:val="0072497B"/>
    <w:rsid w:val="00724A55"/>
    <w:rsid w:val="00724D85"/>
    <w:rsid w:val="00724F07"/>
    <w:rsid w:val="00724F8F"/>
    <w:rsid w:val="00726A3A"/>
    <w:rsid w:val="00726C09"/>
    <w:rsid w:val="00727F8C"/>
    <w:rsid w:val="007305D9"/>
    <w:rsid w:val="00731274"/>
    <w:rsid w:val="0073167E"/>
    <w:rsid w:val="0073200D"/>
    <w:rsid w:val="007324C8"/>
    <w:rsid w:val="00732703"/>
    <w:rsid w:val="007330FD"/>
    <w:rsid w:val="00733703"/>
    <w:rsid w:val="007337EA"/>
    <w:rsid w:val="007348FE"/>
    <w:rsid w:val="00734F17"/>
    <w:rsid w:val="0073594A"/>
    <w:rsid w:val="00735AD0"/>
    <w:rsid w:val="00736BE1"/>
    <w:rsid w:val="00736FB3"/>
    <w:rsid w:val="007377ED"/>
    <w:rsid w:val="00737927"/>
    <w:rsid w:val="00740A4C"/>
    <w:rsid w:val="00740AF5"/>
    <w:rsid w:val="00740B2C"/>
    <w:rsid w:val="00740F0D"/>
    <w:rsid w:val="007417B7"/>
    <w:rsid w:val="00741FC7"/>
    <w:rsid w:val="00742353"/>
    <w:rsid w:val="0074314B"/>
    <w:rsid w:val="0074328C"/>
    <w:rsid w:val="00743965"/>
    <w:rsid w:val="00743ECA"/>
    <w:rsid w:val="007440DD"/>
    <w:rsid w:val="007443B9"/>
    <w:rsid w:val="00745BB5"/>
    <w:rsid w:val="00747A02"/>
    <w:rsid w:val="00750146"/>
    <w:rsid w:val="0075040C"/>
    <w:rsid w:val="00750831"/>
    <w:rsid w:val="00750B65"/>
    <w:rsid w:val="00750ED7"/>
    <w:rsid w:val="007515AF"/>
    <w:rsid w:val="0075175E"/>
    <w:rsid w:val="00752902"/>
    <w:rsid w:val="00752C3E"/>
    <w:rsid w:val="00752E84"/>
    <w:rsid w:val="0075303A"/>
    <w:rsid w:val="007532BF"/>
    <w:rsid w:val="00753B77"/>
    <w:rsid w:val="00753C02"/>
    <w:rsid w:val="00753C81"/>
    <w:rsid w:val="0075437F"/>
    <w:rsid w:val="00754855"/>
    <w:rsid w:val="00754B03"/>
    <w:rsid w:val="00754BE9"/>
    <w:rsid w:val="007558E6"/>
    <w:rsid w:val="00756801"/>
    <w:rsid w:val="00756FCF"/>
    <w:rsid w:val="0075755C"/>
    <w:rsid w:val="00757F2E"/>
    <w:rsid w:val="00757FAB"/>
    <w:rsid w:val="007603BD"/>
    <w:rsid w:val="00761965"/>
    <w:rsid w:val="00762866"/>
    <w:rsid w:val="007629BE"/>
    <w:rsid w:val="00762FBA"/>
    <w:rsid w:val="007635A4"/>
    <w:rsid w:val="007640AD"/>
    <w:rsid w:val="00765485"/>
    <w:rsid w:val="00765726"/>
    <w:rsid w:val="0076579E"/>
    <w:rsid w:val="00765D82"/>
    <w:rsid w:val="0076603A"/>
    <w:rsid w:val="007665B2"/>
    <w:rsid w:val="00766B72"/>
    <w:rsid w:val="00767647"/>
    <w:rsid w:val="00767B99"/>
    <w:rsid w:val="00767BC5"/>
    <w:rsid w:val="00767C54"/>
    <w:rsid w:val="007709A5"/>
    <w:rsid w:val="00770D88"/>
    <w:rsid w:val="00772011"/>
    <w:rsid w:val="00772565"/>
    <w:rsid w:val="00772AD8"/>
    <w:rsid w:val="00772EE5"/>
    <w:rsid w:val="00773C73"/>
    <w:rsid w:val="00773DA6"/>
    <w:rsid w:val="007740FA"/>
    <w:rsid w:val="0077435A"/>
    <w:rsid w:val="00774713"/>
    <w:rsid w:val="00774A59"/>
    <w:rsid w:val="00777269"/>
    <w:rsid w:val="00780543"/>
    <w:rsid w:val="00780DBC"/>
    <w:rsid w:val="00780DE0"/>
    <w:rsid w:val="00782323"/>
    <w:rsid w:val="0078258C"/>
    <w:rsid w:val="00782CC4"/>
    <w:rsid w:val="00782D34"/>
    <w:rsid w:val="00783076"/>
    <w:rsid w:val="00783578"/>
    <w:rsid w:val="0078372D"/>
    <w:rsid w:val="00784C6F"/>
    <w:rsid w:val="00784DA6"/>
    <w:rsid w:val="00785825"/>
    <w:rsid w:val="00786220"/>
    <w:rsid w:val="00787A6D"/>
    <w:rsid w:val="00787BE1"/>
    <w:rsid w:val="0079057E"/>
    <w:rsid w:val="00790C72"/>
    <w:rsid w:val="0079139A"/>
    <w:rsid w:val="0079155A"/>
    <w:rsid w:val="00791DEC"/>
    <w:rsid w:val="00792175"/>
    <w:rsid w:val="0079330F"/>
    <w:rsid w:val="0079347F"/>
    <w:rsid w:val="00793C54"/>
    <w:rsid w:val="00794B4D"/>
    <w:rsid w:val="00794C0A"/>
    <w:rsid w:val="0079528D"/>
    <w:rsid w:val="007953E8"/>
    <w:rsid w:val="007968C9"/>
    <w:rsid w:val="00796E3C"/>
    <w:rsid w:val="00797324"/>
    <w:rsid w:val="00797332"/>
    <w:rsid w:val="00797F3C"/>
    <w:rsid w:val="007A0622"/>
    <w:rsid w:val="007A0C3D"/>
    <w:rsid w:val="007A12CD"/>
    <w:rsid w:val="007A39FB"/>
    <w:rsid w:val="007A44A7"/>
    <w:rsid w:val="007A492E"/>
    <w:rsid w:val="007A4F0A"/>
    <w:rsid w:val="007A615F"/>
    <w:rsid w:val="007A721B"/>
    <w:rsid w:val="007B0635"/>
    <w:rsid w:val="007B0ECB"/>
    <w:rsid w:val="007B15C7"/>
    <w:rsid w:val="007B15E0"/>
    <w:rsid w:val="007B2798"/>
    <w:rsid w:val="007B36F4"/>
    <w:rsid w:val="007B3A6B"/>
    <w:rsid w:val="007B3CDC"/>
    <w:rsid w:val="007B46E1"/>
    <w:rsid w:val="007B493B"/>
    <w:rsid w:val="007B5444"/>
    <w:rsid w:val="007B588F"/>
    <w:rsid w:val="007B5C89"/>
    <w:rsid w:val="007B605D"/>
    <w:rsid w:val="007B6848"/>
    <w:rsid w:val="007B6C8F"/>
    <w:rsid w:val="007B76D5"/>
    <w:rsid w:val="007B7C7F"/>
    <w:rsid w:val="007C0B36"/>
    <w:rsid w:val="007C0FA8"/>
    <w:rsid w:val="007C17D2"/>
    <w:rsid w:val="007C299A"/>
    <w:rsid w:val="007C31C5"/>
    <w:rsid w:val="007C3514"/>
    <w:rsid w:val="007C3EF6"/>
    <w:rsid w:val="007C418E"/>
    <w:rsid w:val="007C4A55"/>
    <w:rsid w:val="007C4E52"/>
    <w:rsid w:val="007C4F9E"/>
    <w:rsid w:val="007C5976"/>
    <w:rsid w:val="007C6764"/>
    <w:rsid w:val="007C685D"/>
    <w:rsid w:val="007C6983"/>
    <w:rsid w:val="007C6D32"/>
    <w:rsid w:val="007C7172"/>
    <w:rsid w:val="007C729D"/>
    <w:rsid w:val="007C7622"/>
    <w:rsid w:val="007C7C5F"/>
    <w:rsid w:val="007D0101"/>
    <w:rsid w:val="007D035C"/>
    <w:rsid w:val="007D1DBB"/>
    <w:rsid w:val="007D217A"/>
    <w:rsid w:val="007D292E"/>
    <w:rsid w:val="007D2D49"/>
    <w:rsid w:val="007D30E9"/>
    <w:rsid w:val="007D32DE"/>
    <w:rsid w:val="007D33A9"/>
    <w:rsid w:val="007D3614"/>
    <w:rsid w:val="007D4A18"/>
    <w:rsid w:val="007D4DD6"/>
    <w:rsid w:val="007D4EAC"/>
    <w:rsid w:val="007D53A7"/>
    <w:rsid w:val="007D54AE"/>
    <w:rsid w:val="007D5CD7"/>
    <w:rsid w:val="007D5E28"/>
    <w:rsid w:val="007D65ED"/>
    <w:rsid w:val="007D68B1"/>
    <w:rsid w:val="007D68DB"/>
    <w:rsid w:val="007D7296"/>
    <w:rsid w:val="007D7E80"/>
    <w:rsid w:val="007E001D"/>
    <w:rsid w:val="007E08BF"/>
    <w:rsid w:val="007E19C5"/>
    <w:rsid w:val="007E2466"/>
    <w:rsid w:val="007E264A"/>
    <w:rsid w:val="007E3666"/>
    <w:rsid w:val="007E3B6B"/>
    <w:rsid w:val="007E3E1E"/>
    <w:rsid w:val="007E41D5"/>
    <w:rsid w:val="007E45DC"/>
    <w:rsid w:val="007E48E0"/>
    <w:rsid w:val="007E4A71"/>
    <w:rsid w:val="007E777B"/>
    <w:rsid w:val="007F1F1F"/>
    <w:rsid w:val="007F24F8"/>
    <w:rsid w:val="007F265E"/>
    <w:rsid w:val="007F2A16"/>
    <w:rsid w:val="007F2EA6"/>
    <w:rsid w:val="007F2F59"/>
    <w:rsid w:val="007F31CE"/>
    <w:rsid w:val="007F400E"/>
    <w:rsid w:val="007F41F2"/>
    <w:rsid w:val="007F469E"/>
    <w:rsid w:val="007F485A"/>
    <w:rsid w:val="007F4E40"/>
    <w:rsid w:val="007F5FDB"/>
    <w:rsid w:val="007F7294"/>
    <w:rsid w:val="007F7633"/>
    <w:rsid w:val="007F79D9"/>
    <w:rsid w:val="007F7F93"/>
    <w:rsid w:val="00800833"/>
    <w:rsid w:val="00800969"/>
    <w:rsid w:val="008029DF"/>
    <w:rsid w:val="008031F9"/>
    <w:rsid w:val="0080345E"/>
    <w:rsid w:val="00803D36"/>
    <w:rsid w:val="00803E7A"/>
    <w:rsid w:val="0080435B"/>
    <w:rsid w:val="00804444"/>
    <w:rsid w:val="00804CAC"/>
    <w:rsid w:val="00805ADA"/>
    <w:rsid w:val="00806214"/>
    <w:rsid w:val="008066DE"/>
    <w:rsid w:val="0080688C"/>
    <w:rsid w:val="00806E2C"/>
    <w:rsid w:val="008071DB"/>
    <w:rsid w:val="0081297C"/>
    <w:rsid w:val="008130D9"/>
    <w:rsid w:val="008133C3"/>
    <w:rsid w:val="008134E4"/>
    <w:rsid w:val="008134E8"/>
    <w:rsid w:val="00813737"/>
    <w:rsid w:val="0081419E"/>
    <w:rsid w:val="008141C3"/>
    <w:rsid w:val="008157C4"/>
    <w:rsid w:val="00815B2D"/>
    <w:rsid w:val="00815ED8"/>
    <w:rsid w:val="00816413"/>
    <w:rsid w:val="008169AD"/>
    <w:rsid w:val="008171C2"/>
    <w:rsid w:val="00817334"/>
    <w:rsid w:val="00817CA2"/>
    <w:rsid w:val="0082075A"/>
    <w:rsid w:val="00820E34"/>
    <w:rsid w:val="00820F0B"/>
    <w:rsid w:val="0082212F"/>
    <w:rsid w:val="00823E4A"/>
    <w:rsid w:val="00823F2D"/>
    <w:rsid w:val="008240E1"/>
    <w:rsid w:val="008244F9"/>
    <w:rsid w:val="00825557"/>
    <w:rsid w:val="00825D1B"/>
    <w:rsid w:val="008261CD"/>
    <w:rsid w:val="008261E4"/>
    <w:rsid w:val="0082620F"/>
    <w:rsid w:val="008266F9"/>
    <w:rsid w:val="0082687D"/>
    <w:rsid w:val="00826A44"/>
    <w:rsid w:val="00826CC5"/>
    <w:rsid w:val="0082789B"/>
    <w:rsid w:val="008300DD"/>
    <w:rsid w:val="00831993"/>
    <w:rsid w:val="008319E4"/>
    <w:rsid w:val="008326D5"/>
    <w:rsid w:val="008327E6"/>
    <w:rsid w:val="00832FE1"/>
    <w:rsid w:val="008338B7"/>
    <w:rsid w:val="008341F7"/>
    <w:rsid w:val="008345E2"/>
    <w:rsid w:val="00834E87"/>
    <w:rsid w:val="00835A44"/>
    <w:rsid w:val="00835DBD"/>
    <w:rsid w:val="0083644E"/>
    <w:rsid w:val="00836C55"/>
    <w:rsid w:val="00836F0D"/>
    <w:rsid w:val="0083760B"/>
    <w:rsid w:val="008376F0"/>
    <w:rsid w:val="00837AB6"/>
    <w:rsid w:val="0084150C"/>
    <w:rsid w:val="00841B08"/>
    <w:rsid w:val="00841F36"/>
    <w:rsid w:val="00842559"/>
    <w:rsid w:val="008427E6"/>
    <w:rsid w:val="00842975"/>
    <w:rsid w:val="0084339E"/>
    <w:rsid w:val="00843595"/>
    <w:rsid w:val="00843AC0"/>
    <w:rsid w:val="00843DF5"/>
    <w:rsid w:val="00844210"/>
    <w:rsid w:val="00844AF4"/>
    <w:rsid w:val="008456F0"/>
    <w:rsid w:val="008460AA"/>
    <w:rsid w:val="00846537"/>
    <w:rsid w:val="00846D33"/>
    <w:rsid w:val="008507A3"/>
    <w:rsid w:val="00850A7F"/>
    <w:rsid w:val="00850F29"/>
    <w:rsid w:val="008511C4"/>
    <w:rsid w:val="0085132B"/>
    <w:rsid w:val="00851978"/>
    <w:rsid w:val="00851A83"/>
    <w:rsid w:val="00851D2D"/>
    <w:rsid w:val="00852EA6"/>
    <w:rsid w:val="00853DE4"/>
    <w:rsid w:val="00854471"/>
    <w:rsid w:val="008555D5"/>
    <w:rsid w:val="008557E8"/>
    <w:rsid w:val="00855ACC"/>
    <w:rsid w:val="00855DBD"/>
    <w:rsid w:val="00856327"/>
    <w:rsid w:val="00856732"/>
    <w:rsid w:val="00857334"/>
    <w:rsid w:val="0086015E"/>
    <w:rsid w:val="0086187F"/>
    <w:rsid w:val="008622B8"/>
    <w:rsid w:val="00862888"/>
    <w:rsid w:val="00862BEA"/>
    <w:rsid w:val="00862DCB"/>
    <w:rsid w:val="00862DCE"/>
    <w:rsid w:val="00862FA9"/>
    <w:rsid w:val="008630B3"/>
    <w:rsid w:val="00863A3F"/>
    <w:rsid w:val="00863E6A"/>
    <w:rsid w:val="00864489"/>
    <w:rsid w:val="008648D9"/>
    <w:rsid w:val="00864A71"/>
    <w:rsid w:val="00865D69"/>
    <w:rsid w:val="0086608D"/>
    <w:rsid w:val="00866B8A"/>
    <w:rsid w:val="00866C71"/>
    <w:rsid w:val="00867300"/>
    <w:rsid w:val="00867A6C"/>
    <w:rsid w:val="00867B17"/>
    <w:rsid w:val="00867BDA"/>
    <w:rsid w:val="00867E90"/>
    <w:rsid w:val="00867EC2"/>
    <w:rsid w:val="00870273"/>
    <w:rsid w:val="00870BA2"/>
    <w:rsid w:val="0087169A"/>
    <w:rsid w:val="00871847"/>
    <w:rsid w:val="008723C1"/>
    <w:rsid w:val="00872A5C"/>
    <w:rsid w:val="00872E42"/>
    <w:rsid w:val="00872FE4"/>
    <w:rsid w:val="00873177"/>
    <w:rsid w:val="008744EA"/>
    <w:rsid w:val="00874C70"/>
    <w:rsid w:val="00874C7A"/>
    <w:rsid w:val="0087593A"/>
    <w:rsid w:val="00875FEE"/>
    <w:rsid w:val="008764D1"/>
    <w:rsid w:val="00877C5A"/>
    <w:rsid w:val="0088041D"/>
    <w:rsid w:val="00880427"/>
    <w:rsid w:val="008806A1"/>
    <w:rsid w:val="00880897"/>
    <w:rsid w:val="00880DD8"/>
    <w:rsid w:val="00881824"/>
    <w:rsid w:val="008820C6"/>
    <w:rsid w:val="00882B76"/>
    <w:rsid w:val="00882B88"/>
    <w:rsid w:val="00882F64"/>
    <w:rsid w:val="00883112"/>
    <w:rsid w:val="0088328D"/>
    <w:rsid w:val="00883451"/>
    <w:rsid w:val="00883469"/>
    <w:rsid w:val="008839B0"/>
    <w:rsid w:val="00883B02"/>
    <w:rsid w:val="008849F2"/>
    <w:rsid w:val="00884CC1"/>
    <w:rsid w:val="00885EAF"/>
    <w:rsid w:val="008908BE"/>
    <w:rsid w:val="00890E4E"/>
    <w:rsid w:val="008910A6"/>
    <w:rsid w:val="008917E0"/>
    <w:rsid w:val="00891817"/>
    <w:rsid w:val="0089208F"/>
    <w:rsid w:val="008923FB"/>
    <w:rsid w:val="00892C66"/>
    <w:rsid w:val="0089324F"/>
    <w:rsid w:val="00893295"/>
    <w:rsid w:val="008932F9"/>
    <w:rsid w:val="00893F36"/>
    <w:rsid w:val="008952B6"/>
    <w:rsid w:val="008954A3"/>
    <w:rsid w:val="0089596C"/>
    <w:rsid w:val="00895EF2"/>
    <w:rsid w:val="0089647E"/>
    <w:rsid w:val="0089663D"/>
    <w:rsid w:val="0089680B"/>
    <w:rsid w:val="00896871"/>
    <w:rsid w:val="008978FD"/>
    <w:rsid w:val="00897F3C"/>
    <w:rsid w:val="00897FA7"/>
    <w:rsid w:val="008A04A7"/>
    <w:rsid w:val="008A1BD7"/>
    <w:rsid w:val="008A278A"/>
    <w:rsid w:val="008A35FA"/>
    <w:rsid w:val="008A3E99"/>
    <w:rsid w:val="008A4702"/>
    <w:rsid w:val="008A5657"/>
    <w:rsid w:val="008A6C2A"/>
    <w:rsid w:val="008A6EB4"/>
    <w:rsid w:val="008A75F1"/>
    <w:rsid w:val="008A7832"/>
    <w:rsid w:val="008B0710"/>
    <w:rsid w:val="008B3153"/>
    <w:rsid w:val="008B355B"/>
    <w:rsid w:val="008B3C3D"/>
    <w:rsid w:val="008B3CAF"/>
    <w:rsid w:val="008B4702"/>
    <w:rsid w:val="008B55CF"/>
    <w:rsid w:val="008B562F"/>
    <w:rsid w:val="008B58F6"/>
    <w:rsid w:val="008B5D61"/>
    <w:rsid w:val="008B663F"/>
    <w:rsid w:val="008B6894"/>
    <w:rsid w:val="008B6A30"/>
    <w:rsid w:val="008B7FE2"/>
    <w:rsid w:val="008C0407"/>
    <w:rsid w:val="008C0F81"/>
    <w:rsid w:val="008C117C"/>
    <w:rsid w:val="008C1337"/>
    <w:rsid w:val="008C192A"/>
    <w:rsid w:val="008C1BF7"/>
    <w:rsid w:val="008C3569"/>
    <w:rsid w:val="008C36B4"/>
    <w:rsid w:val="008C3A2E"/>
    <w:rsid w:val="008C3DC2"/>
    <w:rsid w:val="008C4A34"/>
    <w:rsid w:val="008C4E1E"/>
    <w:rsid w:val="008C4F2F"/>
    <w:rsid w:val="008C4FB0"/>
    <w:rsid w:val="008C58AD"/>
    <w:rsid w:val="008C5CCB"/>
    <w:rsid w:val="008C6996"/>
    <w:rsid w:val="008C6F20"/>
    <w:rsid w:val="008C78B8"/>
    <w:rsid w:val="008C7A60"/>
    <w:rsid w:val="008C7ADA"/>
    <w:rsid w:val="008C7B49"/>
    <w:rsid w:val="008C7C1E"/>
    <w:rsid w:val="008D08D1"/>
    <w:rsid w:val="008D0D2F"/>
    <w:rsid w:val="008D103F"/>
    <w:rsid w:val="008D1A03"/>
    <w:rsid w:val="008D259A"/>
    <w:rsid w:val="008D2938"/>
    <w:rsid w:val="008D2CFA"/>
    <w:rsid w:val="008D2DEC"/>
    <w:rsid w:val="008D3E97"/>
    <w:rsid w:val="008D4D5E"/>
    <w:rsid w:val="008D518D"/>
    <w:rsid w:val="008D5462"/>
    <w:rsid w:val="008D57B5"/>
    <w:rsid w:val="008D59BF"/>
    <w:rsid w:val="008D6438"/>
    <w:rsid w:val="008D6C58"/>
    <w:rsid w:val="008D70A5"/>
    <w:rsid w:val="008E0729"/>
    <w:rsid w:val="008E111C"/>
    <w:rsid w:val="008E1833"/>
    <w:rsid w:val="008E1BC2"/>
    <w:rsid w:val="008E1BF0"/>
    <w:rsid w:val="008E2B2B"/>
    <w:rsid w:val="008E36F7"/>
    <w:rsid w:val="008E3B56"/>
    <w:rsid w:val="008E3BE3"/>
    <w:rsid w:val="008E3C83"/>
    <w:rsid w:val="008E4871"/>
    <w:rsid w:val="008E50F4"/>
    <w:rsid w:val="008E5E27"/>
    <w:rsid w:val="008E610A"/>
    <w:rsid w:val="008E662A"/>
    <w:rsid w:val="008E7236"/>
    <w:rsid w:val="008E79EE"/>
    <w:rsid w:val="008F0761"/>
    <w:rsid w:val="008F0948"/>
    <w:rsid w:val="008F0BF8"/>
    <w:rsid w:val="008F11C6"/>
    <w:rsid w:val="008F17AD"/>
    <w:rsid w:val="008F1AD4"/>
    <w:rsid w:val="008F1CEF"/>
    <w:rsid w:val="008F1ED3"/>
    <w:rsid w:val="008F2A49"/>
    <w:rsid w:val="008F3FFA"/>
    <w:rsid w:val="008F4C8D"/>
    <w:rsid w:val="008F5015"/>
    <w:rsid w:val="008F5313"/>
    <w:rsid w:val="008F5C22"/>
    <w:rsid w:val="008F6D76"/>
    <w:rsid w:val="00900496"/>
    <w:rsid w:val="00900D3D"/>
    <w:rsid w:val="009017B0"/>
    <w:rsid w:val="0090185A"/>
    <w:rsid w:val="00901D39"/>
    <w:rsid w:val="009020AE"/>
    <w:rsid w:val="00902AC5"/>
    <w:rsid w:val="00903F33"/>
    <w:rsid w:val="00903FE6"/>
    <w:rsid w:val="00904548"/>
    <w:rsid w:val="0090462C"/>
    <w:rsid w:val="00904BEA"/>
    <w:rsid w:val="00904BF2"/>
    <w:rsid w:val="009054E5"/>
    <w:rsid w:val="00905E3D"/>
    <w:rsid w:val="009060D8"/>
    <w:rsid w:val="0090673A"/>
    <w:rsid w:val="00906D44"/>
    <w:rsid w:val="009074AE"/>
    <w:rsid w:val="00907BBC"/>
    <w:rsid w:val="00911B34"/>
    <w:rsid w:val="00912129"/>
    <w:rsid w:val="00912B1C"/>
    <w:rsid w:val="009133F9"/>
    <w:rsid w:val="009134E9"/>
    <w:rsid w:val="00915AB8"/>
    <w:rsid w:val="00915AD6"/>
    <w:rsid w:val="0091634A"/>
    <w:rsid w:val="009164DE"/>
    <w:rsid w:val="00917FDD"/>
    <w:rsid w:val="009200B0"/>
    <w:rsid w:val="00920CE2"/>
    <w:rsid w:val="00922061"/>
    <w:rsid w:val="009223C8"/>
    <w:rsid w:val="009235A9"/>
    <w:rsid w:val="009236AB"/>
    <w:rsid w:val="00923923"/>
    <w:rsid w:val="00923989"/>
    <w:rsid w:val="0092538D"/>
    <w:rsid w:val="00925C43"/>
    <w:rsid w:val="00926553"/>
    <w:rsid w:val="00926E8A"/>
    <w:rsid w:val="00926F3C"/>
    <w:rsid w:val="009275DD"/>
    <w:rsid w:val="0092781F"/>
    <w:rsid w:val="0093015A"/>
    <w:rsid w:val="0093020E"/>
    <w:rsid w:val="00930F3E"/>
    <w:rsid w:val="0093107A"/>
    <w:rsid w:val="0093135B"/>
    <w:rsid w:val="0093181F"/>
    <w:rsid w:val="00931E78"/>
    <w:rsid w:val="0093339C"/>
    <w:rsid w:val="00933EC1"/>
    <w:rsid w:val="009342DF"/>
    <w:rsid w:val="00935BFE"/>
    <w:rsid w:val="00935D0C"/>
    <w:rsid w:val="0093603F"/>
    <w:rsid w:val="00936042"/>
    <w:rsid w:val="00936078"/>
    <w:rsid w:val="0093659F"/>
    <w:rsid w:val="00937663"/>
    <w:rsid w:val="00940C00"/>
    <w:rsid w:val="009417FB"/>
    <w:rsid w:val="00942175"/>
    <w:rsid w:val="00943F20"/>
    <w:rsid w:val="0094514F"/>
    <w:rsid w:val="0094649F"/>
    <w:rsid w:val="009467BF"/>
    <w:rsid w:val="00946FFB"/>
    <w:rsid w:val="00947038"/>
    <w:rsid w:val="009471D1"/>
    <w:rsid w:val="00950A3C"/>
    <w:rsid w:val="00950B81"/>
    <w:rsid w:val="00950F0B"/>
    <w:rsid w:val="0095119A"/>
    <w:rsid w:val="00952CEA"/>
    <w:rsid w:val="00952E66"/>
    <w:rsid w:val="00952ED0"/>
    <w:rsid w:val="00953180"/>
    <w:rsid w:val="009533C0"/>
    <w:rsid w:val="00954F1F"/>
    <w:rsid w:val="009558A8"/>
    <w:rsid w:val="00955CE0"/>
    <w:rsid w:val="00957059"/>
    <w:rsid w:val="00957670"/>
    <w:rsid w:val="0096010B"/>
    <w:rsid w:val="00960330"/>
    <w:rsid w:val="00960FF4"/>
    <w:rsid w:val="009610C3"/>
    <w:rsid w:val="009613AD"/>
    <w:rsid w:val="00961B47"/>
    <w:rsid w:val="00961E7B"/>
    <w:rsid w:val="00962253"/>
    <w:rsid w:val="00962AA5"/>
    <w:rsid w:val="00965448"/>
    <w:rsid w:val="0096552F"/>
    <w:rsid w:val="009661F8"/>
    <w:rsid w:val="0096661C"/>
    <w:rsid w:val="009670D6"/>
    <w:rsid w:val="00967738"/>
    <w:rsid w:val="00967EC3"/>
    <w:rsid w:val="0097049D"/>
    <w:rsid w:val="00970CD0"/>
    <w:rsid w:val="00970DA0"/>
    <w:rsid w:val="00970EC9"/>
    <w:rsid w:val="0097119F"/>
    <w:rsid w:val="00971345"/>
    <w:rsid w:val="009723F8"/>
    <w:rsid w:val="00972BEB"/>
    <w:rsid w:val="009733C7"/>
    <w:rsid w:val="00973ACC"/>
    <w:rsid w:val="00973C6E"/>
    <w:rsid w:val="0097417A"/>
    <w:rsid w:val="00974AA5"/>
    <w:rsid w:val="0097535E"/>
    <w:rsid w:val="00975CB4"/>
    <w:rsid w:val="00975D66"/>
    <w:rsid w:val="00975FCD"/>
    <w:rsid w:val="0097657C"/>
    <w:rsid w:val="009765C8"/>
    <w:rsid w:val="00977068"/>
    <w:rsid w:val="00977ED7"/>
    <w:rsid w:val="00977F26"/>
    <w:rsid w:val="0098208B"/>
    <w:rsid w:val="00982784"/>
    <w:rsid w:val="0098298F"/>
    <w:rsid w:val="00982C43"/>
    <w:rsid w:val="009830C5"/>
    <w:rsid w:val="00983922"/>
    <w:rsid w:val="00983C12"/>
    <w:rsid w:val="00983C92"/>
    <w:rsid w:val="00983E42"/>
    <w:rsid w:val="00984758"/>
    <w:rsid w:val="0098482B"/>
    <w:rsid w:val="00984E3C"/>
    <w:rsid w:val="009852A1"/>
    <w:rsid w:val="00985514"/>
    <w:rsid w:val="00985ACB"/>
    <w:rsid w:val="00985BE8"/>
    <w:rsid w:val="00986546"/>
    <w:rsid w:val="0098720A"/>
    <w:rsid w:val="00990AB8"/>
    <w:rsid w:val="00991624"/>
    <w:rsid w:val="00991811"/>
    <w:rsid w:val="00991B5C"/>
    <w:rsid w:val="0099233D"/>
    <w:rsid w:val="00992741"/>
    <w:rsid w:val="00992865"/>
    <w:rsid w:val="00993264"/>
    <w:rsid w:val="009934B7"/>
    <w:rsid w:val="00993C58"/>
    <w:rsid w:val="009942D6"/>
    <w:rsid w:val="009954E2"/>
    <w:rsid w:val="009955D9"/>
    <w:rsid w:val="009966B2"/>
    <w:rsid w:val="0099776E"/>
    <w:rsid w:val="00997B43"/>
    <w:rsid w:val="00997FE5"/>
    <w:rsid w:val="009A055C"/>
    <w:rsid w:val="009A147E"/>
    <w:rsid w:val="009A161A"/>
    <w:rsid w:val="009A24C8"/>
    <w:rsid w:val="009A3061"/>
    <w:rsid w:val="009A33F0"/>
    <w:rsid w:val="009A430D"/>
    <w:rsid w:val="009A4CD3"/>
    <w:rsid w:val="009A4E09"/>
    <w:rsid w:val="009A50A5"/>
    <w:rsid w:val="009A521E"/>
    <w:rsid w:val="009A55A8"/>
    <w:rsid w:val="009A5792"/>
    <w:rsid w:val="009A595C"/>
    <w:rsid w:val="009A5F63"/>
    <w:rsid w:val="009A60A3"/>
    <w:rsid w:val="009A63A9"/>
    <w:rsid w:val="009A63D1"/>
    <w:rsid w:val="009A737E"/>
    <w:rsid w:val="009A73F8"/>
    <w:rsid w:val="009B0044"/>
    <w:rsid w:val="009B0511"/>
    <w:rsid w:val="009B0F3C"/>
    <w:rsid w:val="009B1273"/>
    <w:rsid w:val="009B1577"/>
    <w:rsid w:val="009B19B6"/>
    <w:rsid w:val="009B1E2F"/>
    <w:rsid w:val="009B1F11"/>
    <w:rsid w:val="009B24D0"/>
    <w:rsid w:val="009B2637"/>
    <w:rsid w:val="009B2DD4"/>
    <w:rsid w:val="009B2E5C"/>
    <w:rsid w:val="009B3E08"/>
    <w:rsid w:val="009B4397"/>
    <w:rsid w:val="009B45EB"/>
    <w:rsid w:val="009B4C9C"/>
    <w:rsid w:val="009B5BA5"/>
    <w:rsid w:val="009B60AB"/>
    <w:rsid w:val="009C0088"/>
    <w:rsid w:val="009C0A64"/>
    <w:rsid w:val="009C0AE6"/>
    <w:rsid w:val="009C0B11"/>
    <w:rsid w:val="009C1039"/>
    <w:rsid w:val="009C15CA"/>
    <w:rsid w:val="009C184C"/>
    <w:rsid w:val="009C1F93"/>
    <w:rsid w:val="009C26C9"/>
    <w:rsid w:val="009C27C7"/>
    <w:rsid w:val="009C2943"/>
    <w:rsid w:val="009C36BE"/>
    <w:rsid w:val="009C3AD0"/>
    <w:rsid w:val="009C4105"/>
    <w:rsid w:val="009C412C"/>
    <w:rsid w:val="009C4146"/>
    <w:rsid w:val="009C4B0D"/>
    <w:rsid w:val="009C50DE"/>
    <w:rsid w:val="009C67E9"/>
    <w:rsid w:val="009C6D8C"/>
    <w:rsid w:val="009C6EAF"/>
    <w:rsid w:val="009C6EC7"/>
    <w:rsid w:val="009C74AE"/>
    <w:rsid w:val="009C7DCB"/>
    <w:rsid w:val="009D0254"/>
    <w:rsid w:val="009D0D08"/>
    <w:rsid w:val="009D15DF"/>
    <w:rsid w:val="009D1CF0"/>
    <w:rsid w:val="009D1CF7"/>
    <w:rsid w:val="009D322C"/>
    <w:rsid w:val="009D385F"/>
    <w:rsid w:val="009D3937"/>
    <w:rsid w:val="009D39C6"/>
    <w:rsid w:val="009D4B33"/>
    <w:rsid w:val="009D5817"/>
    <w:rsid w:val="009D5C62"/>
    <w:rsid w:val="009D614A"/>
    <w:rsid w:val="009D6CB7"/>
    <w:rsid w:val="009D72D8"/>
    <w:rsid w:val="009E01C1"/>
    <w:rsid w:val="009E05DF"/>
    <w:rsid w:val="009E06D1"/>
    <w:rsid w:val="009E13B6"/>
    <w:rsid w:val="009E25F0"/>
    <w:rsid w:val="009E2B96"/>
    <w:rsid w:val="009E2C53"/>
    <w:rsid w:val="009E2E79"/>
    <w:rsid w:val="009E2E8F"/>
    <w:rsid w:val="009E2E97"/>
    <w:rsid w:val="009E352A"/>
    <w:rsid w:val="009E3624"/>
    <w:rsid w:val="009E3917"/>
    <w:rsid w:val="009E3A07"/>
    <w:rsid w:val="009E42A2"/>
    <w:rsid w:val="009E5269"/>
    <w:rsid w:val="009E5488"/>
    <w:rsid w:val="009E5ADE"/>
    <w:rsid w:val="009E5F30"/>
    <w:rsid w:val="009E71A6"/>
    <w:rsid w:val="009E7938"/>
    <w:rsid w:val="009E7BA3"/>
    <w:rsid w:val="009E7FA2"/>
    <w:rsid w:val="009E7FA5"/>
    <w:rsid w:val="009F0DA8"/>
    <w:rsid w:val="009F0F16"/>
    <w:rsid w:val="009F1541"/>
    <w:rsid w:val="009F27CC"/>
    <w:rsid w:val="009F2EF8"/>
    <w:rsid w:val="009F2FDE"/>
    <w:rsid w:val="009F301D"/>
    <w:rsid w:val="009F3924"/>
    <w:rsid w:val="009F573B"/>
    <w:rsid w:val="009F59EF"/>
    <w:rsid w:val="009F5F9D"/>
    <w:rsid w:val="009F654F"/>
    <w:rsid w:val="009F734F"/>
    <w:rsid w:val="009F7E74"/>
    <w:rsid w:val="00A00228"/>
    <w:rsid w:val="00A00ACD"/>
    <w:rsid w:val="00A01B76"/>
    <w:rsid w:val="00A020A8"/>
    <w:rsid w:val="00A029F3"/>
    <w:rsid w:val="00A02BA2"/>
    <w:rsid w:val="00A02E8D"/>
    <w:rsid w:val="00A03F1F"/>
    <w:rsid w:val="00A04038"/>
    <w:rsid w:val="00A04867"/>
    <w:rsid w:val="00A0506A"/>
    <w:rsid w:val="00A05295"/>
    <w:rsid w:val="00A05367"/>
    <w:rsid w:val="00A0539E"/>
    <w:rsid w:val="00A05F97"/>
    <w:rsid w:val="00A079E9"/>
    <w:rsid w:val="00A11343"/>
    <w:rsid w:val="00A12C69"/>
    <w:rsid w:val="00A1359B"/>
    <w:rsid w:val="00A13630"/>
    <w:rsid w:val="00A1426A"/>
    <w:rsid w:val="00A1440F"/>
    <w:rsid w:val="00A14A18"/>
    <w:rsid w:val="00A150A3"/>
    <w:rsid w:val="00A15599"/>
    <w:rsid w:val="00A16A3A"/>
    <w:rsid w:val="00A170E6"/>
    <w:rsid w:val="00A17770"/>
    <w:rsid w:val="00A17DF8"/>
    <w:rsid w:val="00A20274"/>
    <w:rsid w:val="00A21882"/>
    <w:rsid w:val="00A22DB0"/>
    <w:rsid w:val="00A23572"/>
    <w:rsid w:val="00A23B57"/>
    <w:rsid w:val="00A23F11"/>
    <w:rsid w:val="00A24077"/>
    <w:rsid w:val="00A24319"/>
    <w:rsid w:val="00A250B1"/>
    <w:rsid w:val="00A250FC"/>
    <w:rsid w:val="00A2532C"/>
    <w:rsid w:val="00A2567E"/>
    <w:rsid w:val="00A256AE"/>
    <w:rsid w:val="00A264F8"/>
    <w:rsid w:val="00A26E98"/>
    <w:rsid w:val="00A278BC"/>
    <w:rsid w:val="00A27DD6"/>
    <w:rsid w:val="00A303F1"/>
    <w:rsid w:val="00A30546"/>
    <w:rsid w:val="00A30C09"/>
    <w:rsid w:val="00A30E31"/>
    <w:rsid w:val="00A31173"/>
    <w:rsid w:val="00A31218"/>
    <w:rsid w:val="00A31316"/>
    <w:rsid w:val="00A32192"/>
    <w:rsid w:val="00A3249C"/>
    <w:rsid w:val="00A32A27"/>
    <w:rsid w:val="00A32D99"/>
    <w:rsid w:val="00A330AA"/>
    <w:rsid w:val="00A33C21"/>
    <w:rsid w:val="00A33CD9"/>
    <w:rsid w:val="00A33ED6"/>
    <w:rsid w:val="00A34144"/>
    <w:rsid w:val="00A34BDD"/>
    <w:rsid w:val="00A34CAB"/>
    <w:rsid w:val="00A34E39"/>
    <w:rsid w:val="00A358BB"/>
    <w:rsid w:val="00A35D29"/>
    <w:rsid w:val="00A36030"/>
    <w:rsid w:val="00A3651E"/>
    <w:rsid w:val="00A369FE"/>
    <w:rsid w:val="00A36EAE"/>
    <w:rsid w:val="00A37868"/>
    <w:rsid w:val="00A401F0"/>
    <w:rsid w:val="00A41673"/>
    <w:rsid w:val="00A41D43"/>
    <w:rsid w:val="00A4222B"/>
    <w:rsid w:val="00A425A6"/>
    <w:rsid w:val="00A43004"/>
    <w:rsid w:val="00A4328E"/>
    <w:rsid w:val="00A432ED"/>
    <w:rsid w:val="00A435BA"/>
    <w:rsid w:val="00A43E04"/>
    <w:rsid w:val="00A44022"/>
    <w:rsid w:val="00A440B9"/>
    <w:rsid w:val="00A4455F"/>
    <w:rsid w:val="00A44E63"/>
    <w:rsid w:val="00A450B9"/>
    <w:rsid w:val="00A456E8"/>
    <w:rsid w:val="00A4643A"/>
    <w:rsid w:val="00A465CB"/>
    <w:rsid w:val="00A4661D"/>
    <w:rsid w:val="00A467A9"/>
    <w:rsid w:val="00A46961"/>
    <w:rsid w:val="00A4713A"/>
    <w:rsid w:val="00A4724C"/>
    <w:rsid w:val="00A4752A"/>
    <w:rsid w:val="00A50C2E"/>
    <w:rsid w:val="00A50D28"/>
    <w:rsid w:val="00A512F4"/>
    <w:rsid w:val="00A515D2"/>
    <w:rsid w:val="00A51D06"/>
    <w:rsid w:val="00A52269"/>
    <w:rsid w:val="00A5241B"/>
    <w:rsid w:val="00A52D8D"/>
    <w:rsid w:val="00A535F3"/>
    <w:rsid w:val="00A540DD"/>
    <w:rsid w:val="00A5485A"/>
    <w:rsid w:val="00A562D2"/>
    <w:rsid w:val="00A56BBC"/>
    <w:rsid w:val="00A56DD2"/>
    <w:rsid w:val="00A60296"/>
    <w:rsid w:val="00A60342"/>
    <w:rsid w:val="00A61172"/>
    <w:rsid w:val="00A61633"/>
    <w:rsid w:val="00A61C8B"/>
    <w:rsid w:val="00A61F21"/>
    <w:rsid w:val="00A628D4"/>
    <w:rsid w:val="00A62917"/>
    <w:rsid w:val="00A631AF"/>
    <w:rsid w:val="00A6338B"/>
    <w:rsid w:val="00A63FAD"/>
    <w:rsid w:val="00A65156"/>
    <w:rsid w:val="00A66FD4"/>
    <w:rsid w:val="00A67152"/>
    <w:rsid w:val="00A7122F"/>
    <w:rsid w:val="00A71308"/>
    <w:rsid w:val="00A7151C"/>
    <w:rsid w:val="00A717A7"/>
    <w:rsid w:val="00A71FC0"/>
    <w:rsid w:val="00A726BB"/>
    <w:rsid w:val="00A727ED"/>
    <w:rsid w:val="00A7423D"/>
    <w:rsid w:val="00A745AE"/>
    <w:rsid w:val="00A7465C"/>
    <w:rsid w:val="00A75F1F"/>
    <w:rsid w:val="00A75F9B"/>
    <w:rsid w:val="00A76374"/>
    <w:rsid w:val="00A76A7A"/>
    <w:rsid w:val="00A76B44"/>
    <w:rsid w:val="00A774E9"/>
    <w:rsid w:val="00A778D4"/>
    <w:rsid w:val="00A779E8"/>
    <w:rsid w:val="00A77BDA"/>
    <w:rsid w:val="00A80102"/>
    <w:rsid w:val="00A80296"/>
    <w:rsid w:val="00A80CF0"/>
    <w:rsid w:val="00A81854"/>
    <w:rsid w:val="00A8284F"/>
    <w:rsid w:val="00A83D8A"/>
    <w:rsid w:val="00A83E61"/>
    <w:rsid w:val="00A8566D"/>
    <w:rsid w:val="00A86175"/>
    <w:rsid w:val="00A861B1"/>
    <w:rsid w:val="00A8650F"/>
    <w:rsid w:val="00A869C6"/>
    <w:rsid w:val="00A87170"/>
    <w:rsid w:val="00A87C26"/>
    <w:rsid w:val="00A90EB9"/>
    <w:rsid w:val="00A912BD"/>
    <w:rsid w:val="00A913D0"/>
    <w:rsid w:val="00A91D51"/>
    <w:rsid w:val="00A91DE6"/>
    <w:rsid w:val="00A9255E"/>
    <w:rsid w:val="00A92F61"/>
    <w:rsid w:val="00A94795"/>
    <w:rsid w:val="00A9489F"/>
    <w:rsid w:val="00A94A6C"/>
    <w:rsid w:val="00A959EB"/>
    <w:rsid w:val="00A9620A"/>
    <w:rsid w:val="00A96FC3"/>
    <w:rsid w:val="00A97036"/>
    <w:rsid w:val="00A97D71"/>
    <w:rsid w:val="00AA0278"/>
    <w:rsid w:val="00AA0B93"/>
    <w:rsid w:val="00AA0CEB"/>
    <w:rsid w:val="00AA1AE2"/>
    <w:rsid w:val="00AA2AC6"/>
    <w:rsid w:val="00AA2B39"/>
    <w:rsid w:val="00AA34E8"/>
    <w:rsid w:val="00AA350A"/>
    <w:rsid w:val="00AA3595"/>
    <w:rsid w:val="00AA3805"/>
    <w:rsid w:val="00AA4939"/>
    <w:rsid w:val="00AA4DFF"/>
    <w:rsid w:val="00AA52D5"/>
    <w:rsid w:val="00AA597A"/>
    <w:rsid w:val="00AA5FFF"/>
    <w:rsid w:val="00AA6A48"/>
    <w:rsid w:val="00AA6A86"/>
    <w:rsid w:val="00AA6E76"/>
    <w:rsid w:val="00AA75B2"/>
    <w:rsid w:val="00AA7996"/>
    <w:rsid w:val="00AA7A7D"/>
    <w:rsid w:val="00AB07E9"/>
    <w:rsid w:val="00AB0957"/>
    <w:rsid w:val="00AB16A6"/>
    <w:rsid w:val="00AB1A2B"/>
    <w:rsid w:val="00AB1B6F"/>
    <w:rsid w:val="00AB1C20"/>
    <w:rsid w:val="00AB1F71"/>
    <w:rsid w:val="00AB1F77"/>
    <w:rsid w:val="00AB2B43"/>
    <w:rsid w:val="00AB339A"/>
    <w:rsid w:val="00AB3B4D"/>
    <w:rsid w:val="00AB47EA"/>
    <w:rsid w:val="00AB5019"/>
    <w:rsid w:val="00AB509A"/>
    <w:rsid w:val="00AB6A8D"/>
    <w:rsid w:val="00AB6B68"/>
    <w:rsid w:val="00AB7027"/>
    <w:rsid w:val="00AB72D2"/>
    <w:rsid w:val="00AC167C"/>
    <w:rsid w:val="00AC1820"/>
    <w:rsid w:val="00AC1934"/>
    <w:rsid w:val="00AC1A14"/>
    <w:rsid w:val="00AC34A8"/>
    <w:rsid w:val="00AC50B1"/>
    <w:rsid w:val="00AC5E1B"/>
    <w:rsid w:val="00AC7F35"/>
    <w:rsid w:val="00AD095A"/>
    <w:rsid w:val="00AD0A2E"/>
    <w:rsid w:val="00AD1620"/>
    <w:rsid w:val="00AD242B"/>
    <w:rsid w:val="00AD2553"/>
    <w:rsid w:val="00AD3937"/>
    <w:rsid w:val="00AD3950"/>
    <w:rsid w:val="00AD3A5B"/>
    <w:rsid w:val="00AD40C9"/>
    <w:rsid w:val="00AD4224"/>
    <w:rsid w:val="00AD4E2C"/>
    <w:rsid w:val="00AD51FD"/>
    <w:rsid w:val="00AD5BF6"/>
    <w:rsid w:val="00AD64BC"/>
    <w:rsid w:val="00AD67D2"/>
    <w:rsid w:val="00AD6805"/>
    <w:rsid w:val="00AD6C3C"/>
    <w:rsid w:val="00AD6ECD"/>
    <w:rsid w:val="00AD779A"/>
    <w:rsid w:val="00AE0CEC"/>
    <w:rsid w:val="00AE1278"/>
    <w:rsid w:val="00AE12C5"/>
    <w:rsid w:val="00AE14C2"/>
    <w:rsid w:val="00AE17A5"/>
    <w:rsid w:val="00AE1D57"/>
    <w:rsid w:val="00AE232D"/>
    <w:rsid w:val="00AE2856"/>
    <w:rsid w:val="00AE2E0C"/>
    <w:rsid w:val="00AE2E7C"/>
    <w:rsid w:val="00AE31A5"/>
    <w:rsid w:val="00AE3973"/>
    <w:rsid w:val="00AE3CAC"/>
    <w:rsid w:val="00AE3D60"/>
    <w:rsid w:val="00AE3E82"/>
    <w:rsid w:val="00AE4094"/>
    <w:rsid w:val="00AE538B"/>
    <w:rsid w:val="00AE6863"/>
    <w:rsid w:val="00AE6B9B"/>
    <w:rsid w:val="00AE6DAC"/>
    <w:rsid w:val="00AE7327"/>
    <w:rsid w:val="00AE78F4"/>
    <w:rsid w:val="00AE7BB1"/>
    <w:rsid w:val="00AE7C7C"/>
    <w:rsid w:val="00AE7E13"/>
    <w:rsid w:val="00AF035B"/>
    <w:rsid w:val="00AF097A"/>
    <w:rsid w:val="00AF15DD"/>
    <w:rsid w:val="00AF15FA"/>
    <w:rsid w:val="00AF249C"/>
    <w:rsid w:val="00AF3AF9"/>
    <w:rsid w:val="00AF4057"/>
    <w:rsid w:val="00AF5A4C"/>
    <w:rsid w:val="00AF63CC"/>
    <w:rsid w:val="00B00F0C"/>
    <w:rsid w:val="00B00F22"/>
    <w:rsid w:val="00B0120A"/>
    <w:rsid w:val="00B01B3F"/>
    <w:rsid w:val="00B01D1D"/>
    <w:rsid w:val="00B0269C"/>
    <w:rsid w:val="00B02C51"/>
    <w:rsid w:val="00B02D7C"/>
    <w:rsid w:val="00B0316A"/>
    <w:rsid w:val="00B03736"/>
    <w:rsid w:val="00B03A61"/>
    <w:rsid w:val="00B04481"/>
    <w:rsid w:val="00B0478E"/>
    <w:rsid w:val="00B04DBD"/>
    <w:rsid w:val="00B061A1"/>
    <w:rsid w:val="00B064E8"/>
    <w:rsid w:val="00B06872"/>
    <w:rsid w:val="00B069A8"/>
    <w:rsid w:val="00B06E35"/>
    <w:rsid w:val="00B06E67"/>
    <w:rsid w:val="00B06EC4"/>
    <w:rsid w:val="00B07E8B"/>
    <w:rsid w:val="00B1050A"/>
    <w:rsid w:val="00B10D57"/>
    <w:rsid w:val="00B111E7"/>
    <w:rsid w:val="00B117EF"/>
    <w:rsid w:val="00B11E31"/>
    <w:rsid w:val="00B11E83"/>
    <w:rsid w:val="00B122D2"/>
    <w:rsid w:val="00B123EE"/>
    <w:rsid w:val="00B12CB3"/>
    <w:rsid w:val="00B1324D"/>
    <w:rsid w:val="00B147CE"/>
    <w:rsid w:val="00B14D34"/>
    <w:rsid w:val="00B15D05"/>
    <w:rsid w:val="00B166AA"/>
    <w:rsid w:val="00B16F9F"/>
    <w:rsid w:val="00B16FAE"/>
    <w:rsid w:val="00B1796C"/>
    <w:rsid w:val="00B203C2"/>
    <w:rsid w:val="00B208AB"/>
    <w:rsid w:val="00B20E92"/>
    <w:rsid w:val="00B2115D"/>
    <w:rsid w:val="00B2172F"/>
    <w:rsid w:val="00B218BD"/>
    <w:rsid w:val="00B21F23"/>
    <w:rsid w:val="00B22E3A"/>
    <w:rsid w:val="00B23903"/>
    <w:rsid w:val="00B23DA5"/>
    <w:rsid w:val="00B24449"/>
    <w:rsid w:val="00B250BC"/>
    <w:rsid w:val="00B25188"/>
    <w:rsid w:val="00B2645D"/>
    <w:rsid w:val="00B26FD3"/>
    <w:rsid w:val="00B273B1"/>
    <w:rsid w:val="00B27708"/>
    <w:rsid w:val="00B27960"/>
    <w:rsid w:val="00B30C7B"/>
    <w:rsid w:val="00B315DC"/>
    <w:rsid w:val="00B32744"/>
    <w:rsid w:val="00B33447"/>
    <w:rsid w:val="00B33AA7"/>
    <w:rsid w:val="00B33D69"/>
    <w:rsid w:val="00B33E90"/>
    <w:rsid w:val="00B34FAB"/>
    <w:rsid w:val="00B3500B"/>
    <w:rsid w:val="00B3519A"/>
    <w:rsid w:val="00B351F3"/>
    <w:rsid w:val="00B3533C"/>
    <w:rsid w:val="00B35474"/>
    <w:rsid w:val="00B35859"/>
    <w:rsid w:val="00B35878"/>
    <w:rsid w:val="00B35E78"/>
    <w:rsid w:val="00B366E1"/>
    <w:rsid w:val="00B36BFF"/>
    <w:rsid w:val="00B36C65"/>
    <w:rsid w:val="00B36DE8"/>
    <w:rsid w:val="00B37FCF"/>
    <w:rsid w:val="00B41DB7"/>
    <w:rsid w:val="00B41FC5"/>
    <w:rsid w:val="00B42786"/>
    <w:rsid w:val="00B42BFF"/>
    <w:rsid w:val="00B43E98"/>
    <w:rsid w:val="00B44B2D"/>
    <w:rsid w:val="00B45AEF"/>
    <w:rsid w:val="00B46375"/>
    <w:rsid w:val="00B4695F"/>
    <w:rsid w:val="00B47B69"/>
    <w:rsid w:val="00B47E54"/>
    <w:rsid w:val="00B47F0F"/>
    <w:rsid w:val="00B50288"/>
    <w:rsid w:val="00B5077C"/>
    <w:rsid w:val="00B5101C"/>
    <w:rsid w:val="00B51A6B"/>
    <w:rsid w:val="00B53198"/>
    <w:rsid w:val="00B53886"/>
    <w:rsid w:val="00B54A9C"/>
    <w:rsid w:val="00B54D99"/>
    <w:rsid w:val="00B569F0"/>
    <w:rsid w:val="00B5753A"/>
    <w:rsid w:val="00B60171"/>
    <w:rsid w:val="00B601B0"/>
    <w:rsid w:val="00B61750"/>
    <w:rsid w:val="00B61781"/>
    <w:rsid w:val="00B618B1"/>
    <w:rsid w:val="00B61B48"/>
    <w:rsid w:val="00B61EF8"/>
    <w:rsid w:val="00B624F2"/>
    <w:rsid w:val="00B629A1"/>
    <w:rsid w:val="00B63D42"/>
    <w:rsid w:val="00B643BD"/>
    <w:rsid w:val="00B6472C"/>
    <w:rsid w:val="00B64C97"/>
    <w:rsid w:val="00B668EE"/>
    <w:rsid w:val="00B66B34"/>
    <w:rsid w:val="00B66DF4"/>
    <w:rsid w:val="00B672B2"/>
    <w:rsid w:val="00B67A84"/>
    <w:rsid w:val="00B67EF6"/>
    <w:rsid w:val="00B70193"/>
    <w:rsid w:val="00B70472"/>
    <w:rsid w:val="00B7153E"/>
    <w:rsid w:val="00B7186C"/>
    <w:rsid w:val="00B71DC1"/>
    <w:rsid w:val="00B71F06"/>
    <w:rsid w:val="00B730F3"/>
    <w:rsid w:val="00B744A0"/>
    <w:rsid w:val="00B752AB"/>
    <w:rsid w:val="00B759FE"/>
    <w:rsid w:val="00B76905"/>
    <w:rsid w:val="00B76A84"/>
    <w:rsid w:val="00B77966"/>
    <w:rsid w:val="00B80B8A"/>
    <w:rsid w:val="00B810E8"/>
    <w:rsid w:val="00B81580"/>
    <w:rsid w:val="00B81AF3"/>
    <w:rsid w:val="00B82555"/>
    <w:rsid w:val="00B82A74"/>
    <w:rsid w:val="00B82CFA"/>
    <w:rsid w:val="00B831BC"/>
    <w:rsid w:val="00B83BFB"/>
    <w:rsid w:val="00B8443B"/>
    <w:rsid w:val="00B84BB4"/>
    <w:rsid w:val="00B85248"/>
    <w:rsid w:val="00B85301"/>
    <w:rsid w:val="00B85BE2"/>
    <w:rsid w:val="00B864E1"/>
    <w:rsid w:val="00B869DE"/>
    <w:rsid w:val="00B8706D"/>
    <w:rsid w:val="00B87759"/>
    <w:rsid w:val="00B87E93"/>
    <w:rsid w:val="00B902F2"/>
    <w:rsid w:val="00B9075E"/>
    <w:rsid w:val="00B91627"/>
    <w:rsid w:val="00B91C62"/>
    <w:rsid w:val="00B92381"/>
    <w:rsid w:val="00B92434"/>
    <w:rsid w:val="00B93C01"/>
    <w:rsid w:val="00B94DD6"/>
    <w:rsid w:val="00B95477"/>
    <w:rsid w:val="00B95CE4"/>
    <w:rsid w:val="00B960D6"/>
    <w:rsid w:val="00B96AA8"/>
    <w:rsid w:val="00B970B8"/>
    <w:rsid w:val="00B979A6"/>
    <w:rsid w:val="00BA0C83"/>
    <w:rsid w:val="00BA13A2"/>
    <w:rsid w:val="00BA1F1E"/>
    <w:rsid w:val="00BA26E8"/>
    <w:rsid w:val="00BA3056"/>
    <w:rsid w:val="00BA33C6"/>
    <w:rsid w:val="00BA3A81"/>
    <w:rsid w:val="00BA452A"/>
    <w:rsid w:val="00BA487C"/>
    <w:rsid w:val="00BA4A2F"/>
    <w:rsid w:val="00BA4FDD"/>
    <w:rsid w:val="00BA5832"/>
    <w:rsid w:val="00BA591C"/>
    <w:rsid w:val="00BA5E2C"/>
    <w:rsid w:val="00BA6A50"/>
    <w:rsid w:val="00BA79C4"/>
    <w:rsid w:val="00BB15EA"/>
    <w:rsid w:val="00BB1812"/>
    <w:rsid w:val="00BB2156"/>
    <w:rsid w:val="00BB232F"/>
    <w:rsid w:val="00BB3813"/>
    <w:rsid w:val="00BB51E9"/>
    <w:rsid w:val="00BB5526"/>
    <w:rsid w:val="00BB576A"/>
    <w:rsid w:val="00BB5BC4"/>
    <w:rsid w:val="00BB5C7C"/>
    <w:rsid w:val="00BB5FC6"/>
    <w:rsid w:val="00BB641D"/>
    <w:rsid w:val="00BB6885"/>
    <w:rsid w:val="00BB7601"/>
    <w:rsid w:val="00BB7623"/>
    <w:rsid w:val="00BB78AB"/>
    <w:rsid w:val="00BB7E99"/>
    <w:rsid w:val="00BC0277"/>
    <w:rsid w:val="00BC0317"/>
    <w:rsid w:val="00BC1892"/>
    <w:rsid w:val="00BC1C1F"/>
    <w:rsid w:val="00BC1DF9"/>
    <w:rsid w:val="00BC2379"/>
    <w:rsid w:val="00BC2809"/>
    <w:rsid w:val="00BC2C32"/>
    <w:rsid w:val="00BC2EC0"/>
    <w:rsid w:val="00BC35AA"/>
    <w:rsid w:val="00BC39F5"/>
    <w:rsid w:val="00BC506E"/>
    <w:rsid w:val="00BC6CFD"/>
    <w:rsid w:val="00BC737F"/>
    <w:rsid w:val="00BC79B6"/>
    <w:rsid w:val="00BC7A76"/>
    <w:rsid w:val="00BD0705"/>
    <w:rsid w:val="00BD0C93"/>
    <w:rsid w:val="00BD10D4"/>
    <w:rsid w:val="00BD2B4A"/>
    <w:rsid w:val="00BD2E15"/>
    <w:rsid w:val="00BD30F6"/>
    <w:rsid w:val="00BD3392"/>
    <w:rsid w:val="00BD33C4"/>
    <w:rsid w:val="00BD47A2"/>
    <w:rsid w:val="00BD4A50"/>
    <w:rsid w:val="00BD4FDC"/>
    <w:rsid w:val="00BD55B5"/>
    <w:rsid w:val="00BD5957"/>
    <w:rsid w:val="00BD6324"/>
    <w:rsid w:val="00BD6957"/>
    <w:rsid w:val="00BD6AF2"/>
    <w:rsid w:val="00BD6BD6"/>
    <w:rsid w:val="00BD6D30"/>
    <w:rsid w:val="00BD6EE4"/>
    <w:rsid w:val="00BD7326"/>
    <w:rsid w:val="00BD73BE"/>
    <w:rsid w:val="00BD77B5"/>
    <w:rsid w:val="00BE0071"/>
    <w:rsid w:val="00BE011F"/>
    <w:rsid w:val="00BE0539"/>
    <w:rsid w:val="00BE0DE2"/>
    <w:rsid w:val="00BE0FC2"/>
    <w:rsid w:val="00BE207C"/>
    <w:rsid w:val="00BE2950"/>
    <w:rsid w:val="00BE2C80"/>
    <w:rsid w:val="00BE2FA3"/>
    <w:rsid w:val="00BE2FEB"/>
    <w:rsid w:val="00BE3960"/>
    <w:rsid w:val="00BE3D29"/>
    <w:rsid w:val="00BE527A"/>
    <w:rsid w:val="00BE5598"/>
    <w:rsid w:val="00BE5D9C"/>
    <w:rsid w:val="00BE5E77"/>
    <w:rsid w:val="00BE6144"/>
    <w:rsid w:val="00BE61C1"/>
    <w:rsid w:val="00BE62A7"/>
    <w:rsid w:val="00BE6982"/>
    <w:rsid w:val="00BE6A46"/>
    <w:rsid w:val="00BE7273"/>
    <w:rsid w:val="00BE74F0"/>
    <w:rsid w:val="00BE7A63"/>
    <w:rsid w:val="00BE7E90"/>
    <w:rsid w:val="00BF0183"/>
    <w:rsid w:val="00BF0401"/>
    <w:rsid w:val="00BF0BA8"/>
    <w:rsid w:val="00BF0C29"/>
    <w:rsid w:val="00BF0FC9"/>
    <w:rsid w:val="00BF2FB6"/>
    <w:rsid w:val="00BF3364"/>
    <w:rsid w:val="00BF3FE8"/>
    <w:rsid w:val="00BF4631"/>
    <w:rsid w:val="00BF4C3C"/>
    <w:rsid w:val="00BF4FCF"/>
    <w:rsid w:val="00BF58BD"/>
    <w:rsid w:val="00BF5EBC"/>
    <w:rsid w:val="00BF62F2"/>
    <w:rsid w:val="00BF63C4"/>
    <w:rsid w:val="00BF65B3"/>
    <w:rsid w:val="00BF673A"/>
    <w:rsid w:val="00C002AE"/>
    <w:rsid w:val="00C0072B"/>
    <w:rsid w:val="00C00986"/>
    <w:rsid w:val="00C00A03"/>
    <w:rsid w:val="00C00CF2"/>
    <w:rsid w:val="00C0141F"/>
    <w:rsid w:val="00C01D46"/>
    <w:rsid w:val="00C03A7F"/>
    <w:rsid w:val="00C03E61"/>
    <w:rsid w:val="00C04099"/>
    <w:rsid w:val="00C04141"/>
    <w:rsid w:val="00C052F8"/>
    <w:rsid w:val="00C053C7"/>
    <w:rsid w:val="00C05D1D"/>
    <w:rsid w:val="00C05EE2"/>
    <w:rsid w:val="00C066E7"/>
    <w:rsid w:val="00C0730B"/>
    <w:rsid w:val="00C102A6"/>
    <w:rsid w:val="00C1054B"/>
    <w:rsid w:val="00C1060A"/>
    <w:rsid w:val="00C1188D"/>
    <w:rsid w:val="00C123A3"/>
    <w:rsid w:val="00C12940"/>
    <w:rsid w:val="00C131EA"/>
    <w:rsid w:val="00C1346F"/>
    <w:rsid w:val="00C14734"/>
    <w:rsid w:val="00C1488F"/>
    <w:rsid w:val="00C14F9F"/>
    <w:rsid w:val="00C14FA0"/>
    <w:rsid w:val="00C156C6"/>
    <w:rsid w:val="00C16644"/>
    <w:rsid w:val="00C16C42"/>
    <w:rsid w:val="00C1773B"/>
    <w:rsid w:val="00C21355"/>
    <w:rsid w:val="00C2216C"/>
    <w:rsid w:val="00C22C87"/>
    <w:rsid w:val="00C23F67"/>
    <w:rsid w:val="00C2413B"/>
    <w:rsid w:val="00C24661"/>
    <w:rsid w:val="00C24B36"/>
    <w:rsid w:val="00C25079"/>
    <w:rsid w:val="00C25BF5"/>
    <w:rsid w:val="00C25E98"/>
    <w:rsid w:val="00C25F73"/>
    <w:rsid w:val="00C26100"/>
    <w:rsid w:val="00C27C02"/>
    <w:rsid w:val="00C3045C"/>
    <w:rsid w:val="00C30AE3"/>
    <w:rsid w:val="00C31000"/>
    <w:rsid w:val="00C3211E"/>
    <w:rsid w:val="00C332B5"/>
    <w:rsid w:val="00C334A5"/>
    <w:rsid w:val="00C336EC"/>
    <w:rsid w:val="00C33734"/>
    <w:rsid w:val="00C337CC"/>
    <w:rsid w:val="00C34687"/>
    <w:rsid w:val="00C34AFA"/>
    <w:rsid w:val="00C34E35"/>
    <w:rsid w:val="00C34E9A"/>
    <w:rsid w:val="00C358F4"/>
    <w:rsid w:val="00C35CC3"/>
    <w:rsid w:val="00C35DB9"/>
    <w:rsid w:val="00C35FB0"/>
    <w:rsid w:val="00C375F4"/>
    <w:rsid w:val="00C37E3B"/>
    <w:rsid w:val="00C40231"/>
    <w:rsid w:val="00C40499"/>
    <w:rsid w:val="00C40582"/>
    <w:rsid w:val="00C41397"/>
    <w:rsid w:val="00C420F9"/>
    <w:rsid w:val="00C43B43"/>
    <w:rsid w:val="00C43C65"/>
    <w:rsid w:val="00C43D3B"/>
    <w:rsid w:val="00C443F3"/>
    <w:rsid w:val="00C44453"/>
    <w:rsid w:val="00C44EFC"/>
    <w:rsid w:val="00C451AD"/>
    <w:rsid w:val="00C46E51"/>
    <w:rsid w:val="00C47017"/>
    <w:rsid w:val="00C472AA"/>
    <w:rsid w:val="00C47A26"/>
    <w:rsid w:val="00C5010B"/>
    <w:rsid w:val="00C50CC1"/>
    <w:rsid w:val="00C50E73"/>
    <w:rsid w:val="00C5116F"/>
    <w:rsid w:val="00C51AA3"/>
    <w:rsid w:val="00C51EC4"/>
    <w:rsid w:val="00C52191"/>
    <w:rsid w:val="00C53268"/>
    <w:rsid w:val="00C53448"/>
    <w:rsid w:val="00C555D0"/>
    <w:rsid w:val="00C55AFB"/>
    <w:rsid w:val="00C55BA4"/>
    <w:rsid w:val="00C5603F"/>
    <w:rsid w:val="00C569F5"/>
    <w:rsid w:val="00C56E39"/>
    <w:rsid w:val="00C57027"/>
    <w:rsid w:val="00C57126"/>
    <w:rsid w:val="00C57799"/>
    <w:rsid w:val="00C60399"/>
    <w:rsid w:val="00C60B46"/>
    <w:rsid w:val="00C613B7"/>
    <w:rsid w:val="00C6145B"/>
    <w:rsid w:val="00C61567"/>
    <w:rsid w:val="00C61740"/>
    <w:rsid w:val="00C61804"/>
    <w:rsid w:val="00C61993"/>
    <w:rsid w:val="00C6299A"/>
    <w:rsid w:val="00C62DBE"/>
    <w:rsid w:val="00C6352D"/>
    <w:rsid w:val="00C635EE"/>
    <w:rsid w:val="00C63B6D"/>
    <w:rsid w:val="00C63EEA"/>
    <w:rsid w:val="00C64A31"/>
    <w:rsid w:val="00C64E07"/>
    <w:rsid w:val="00C64E7A"/>
    <w:rsid w:val="00C659BF"/>
    <w:rsid w:val="00C65A03"/>
    <w:rsid w:val="00C65B8F"/>
    <w:rsid w:val="00C6641C"/>
    <w:rsid w:val="00C66458"/>
    <w:rsid w:val="00C6646D"/>
    <w:rsid w:val="00C66529"/>
    <w:rsid w:val="00C668DA"/>
    <w:rsid w:val="00C7089C"/>
    <w:rsid w:val="00C7089D"/>
    <w:rsid w:val="00C70EFB"/>
    <w:rsid w:val="00C70F1E"/>
    <w:rsid w:val="00C720CF"/>
    <w:rsid w:val="00C72D9D"/>
    <w:rsid w:val="00C732F5"/>
    <w:rsid w:val="00C748CD"/>
    <w:rsid w:val="00C74F13"/>
    <w:rsid w:val="00C7522C"/>
    <w:rsid w:val="00C757AD"/>
    <w:rsid w:val="00C768D8"/>
    <w:rsid w:val="00C76BD1"/>
    <w:rsid w:val="00C76DA6"/>
    <w:rsid w:val="00C76E99"/>
    <w:rsid w:val="00C77323"/>
    <w:rsid w:val="00C77D5B"/>
    <w:rsid w:val="00C8040D"/>
    <w:rsid w:val="00C80514"/>
    <w:rsid w:val="00C80E15"/>
    <w:rsid w:val="00C82764"/>
    <w:rsid w:val="00C82D77"/>
    <w:rsid w:val="00C8414D"/>
    <w:rsid w:val="00C84678"/>
    <w:rsid w:val="00C84F0B"/>
    <w:rsid w:val="00C85B21"/>
    <w:rsid w:val="00C86457"/>
    <w:rsid w:val="00C86A77"/>
    <w:rsid w:val="00C87313"/>
    <w:rsid w:val="00C907EB"/>
    <w:rsid w:val="00C92406"/>
    <w:rsid w:val="00C92BE2"/>
    <w:rsid w:val="00C93158"/>
    <w:rsid w:val="00C931A4"/>
    <w:rsid w:val="00C9467E"/>
    <w:rsid w:val="00C94907"/>
    <w:rsid w:val="00C949D7"/>
    <w:rsid w:val="00C94A9E"/>
    <w:rsid w:val="00C95114"/>
    <w:rsid w:val="00C954F9"/>
    <w:rsid w:val="00C957F1"/>
    <w:rsid w:val="00C95932"/>
    <w:rsid w:val="00C95AA6"/>
    <w:rsid w:val="00C95BAA"/>
    <w:rsid w:val="00C96420"/>
    <w:rsid w:val="00C96990"/>
    <w:rsid w:val="00C96B3D"/>
    <w:rsid w:val="00C97A50"/>
    <w:rsid w:val="00CA009F"/>
    <w:rsid w:val="00CA0100"/>
    <w:rsid w:val="00CA019D"/>
    <w:rsid w:val="00CA110A"/>
    <w:rsid w:val="00CA1390"/>
    <w:rsid w:val="00CA1625"/>
    <w:rsid w:val="00CA2114"/>
    <w:rsid w:val="00CA283B"/>
    <w:rsid w:val="00CA29F8"/>
    <w:rsid w:val="00CA2EB9"/>
    <w:rsid w:val="00CA3593"/>
    <w:rsid w:val="00CA39C2"/>
    <w:rsid w:val="00CA3D30"/>
    <w:rsid w:val="00CA4206"/>
    <w:rsid w:val="00CA46B3"/>
    <w:rsid w:val="00CA4F6B"/>
    <w:rsid w:val="00CA50F6"/>
    <w:rsid w:val="00CA57E8"/>
    <w:rsid w:val="00CA5BAA"/>
    <w:rsid w:val="00CA5CEC"/>
    <w:rsid w:val="00CA5DCB"/>
    <w:rsid w:val="00CA6BA5"/>
    <w:rsid w:val="00CA77F1"/>
    <w:rsid w:val="00CA7AEA"/>
    <w:rsid w:val="00CB0CFB"/>
    <w:rsid w:val="00CB2057"/>
    <w:rsid w:val="00CB2D0A"/>
    <w:rsid w:val="00CB3100"/>
    <w:rsid w:val="00CB3C5D"/>
    <w:rsid w:val="00CB5B45"/>
    <w:rsid w:val="00CB5F43"/>
    <w:rsid w:val="00CB699F"/>
    <w:rsid w:val="00CB7598"/>
    <w:rsid w:val="00CB7B40"/>
    <w:rsid w:val="00CC035F"/>
    <w:rsid w:val="00CC0EF7"/>
    <w:rsid w:val="00CC102D"/>
    <w:rsid w:val="00CC1A64"/>
    <w:rsid w:val="00CC3EDC"/>
    <w:rsid w:val="00CC4072"/>
    <w:rsid w:val="00CC4AFB"/>
    <w:rsid w:val="00CC561A"/>
    <w:rsid w:val="00CC5AE3"/>
    <w:rsid w:val="00CC5D66"/>
    <w:rsid w:val="00CC60CF"/>
    <w:rsid w:val="00CC6641"/>
    <w:rsid w:val="00CC69B2"/>
    <w:rsid w:val="00CC6B6D"/>
    <w:rsid w:val="00CC6D04"/>
    <w:rsid w:val="00CC6D4B"/>
    <w:rsid w:val="00CC6F2E"/>
    <w:rsid w:val="00CC6F6A"/>
    <w:rsid w:val="00CC74C9"/>
    <w:rsid w:val="00CC74E9"/>
    <w:rsid w:val="00CC759E"/>
    <w:rsid w:val="00CC777B"/>
    <w:rsid w:val="00CC7E35"/>
    <w:rsid w:val="00CD088D"/>
    <w:rsid w:val="00CD130D"/>
    <w:rsid w:val="00CD211F"/>
    <w:rsid w:val="00CD4B6E"/>
    <w:rsid w:val="00CD5200"/>
    <w:rsid w:val="00CD5442"/>
    <w:rsid w:val="00CD5A46"/>
    <w:rsid w:val="00CD5BC4"/>
    <w:rsid w:val="00CD66F0"/>
    <w:rsid w:val="00CD6C01"/>
    <w:rsid w:val="00CD70B8"/>
    <w:rsid w:val="00CD75C7"/>
    <w:rsid w:val="00CE0E33"/>
    <w:rsid w:val="00CE0EE9"/>
    <w:rsid w:val="00CE12AE"/>
    <w:rsid w:val="00CE2B8A"/>
    <w:rsid w:val="00CE2C8F"/>
    <w:rsid w:val="00CE2F5C"/>
    <w:rsid w:val="00CE373D"/>
    <w:rsid w:val="00CE39EC"/>
    <w:rsid w:val="00CE49BA"/>
    <w:rsid w:val="00CE4D49"/>
    <w:rsid w:val="00CE516E"/>
    <w:rsid w:val="00CE5AFE"/>
    <w:rsid w:val="00CE63D2"/>
    <w:rsid w:val="00CE7826"/>
    <w:rsid w:val="00CE7936"/>
    <w:rsid w:val="00CE7A47"/>
    <w:rsid w:val="00CE7FCB"/>
    <w:rsid w:val="00CF020F"/>
    <w:rsid w:val="00CF084D"/>
    <w:rsid w:val="00CF0BC1"/>
    <w:rsid w:val="00CF1428"/>
    <w:rsid w:val="00CF19F3"/>
    <w:rsid w:val="00CF23E6"/>
    <w:rsid w:val="00CF29D3"/>
    <w:rsid w:val="00CF352F"/>
    <w:rsid w:val="00CF3F51"/>
    <w:rsid w:val="00CF422E"/>
    <w:rsid w:val="00CF45FF"/>
    <w:rsid w:val="00CF4962"/>
    <w:rsid w:val="00CF52D6"/>
    <w:rsid w:val="00CF608E"/>
    <w:rsid w:val="00CF6AB3"/>
    <w:rsid w:val="00CF7BD2"/>
    <w:rsid w:val="00CF7EE1"/>
    <w:rsid w:val="00D006FE"/>
    <w:rsid w:val="00D00B9B"/>
    <w:rsid w:val="00D00EA4"/>
    <w:rsid w:val="00D01907"/>
    <w:rsid w:val="00D0212D"/>
    <w:rsid w:val="00D02C1D"/>
    <w:rsid w:val="00D02E0E"/>
    <w:rsid w:val="00D03047"/>
    <w:rsid w:val="00D03068"/>
    <w:rsid w:val="00D0371D"/>
    <w:rsid w:val="00D03DB5"/>
    <w:rsid w:val="00D042E2"/>
    <w:rsid w:val="00D042F6"/>
    <w:rsid w:val="00D04831"/>
    <w:rsid w:val="00D05049"/>
    <w:rsid w:val="00D055BC"/>
    <w:rsid w:val="00D059B2"/>
    <w:rsid w:val="00D059CA"/>
    <w:rsid w:val="00D0614F"/>
    <w:rsid w:val="00D0667F"/>
    <w:rsid w:val="00D06744"/>
    <w:rsid w:val="00D074F9"/>
    <w:rsid w:val="00D07FA4"/>
    <w:rsid w:val="00D10203"/>
    <w:rsid w:val="00D11057"/>
    <w:rsid w:val="00D112C9"/>
    <w:rsid w:val="00D1155E"/>
    <w:rsid w:val="00D127DD"/>
    <w:rsid w:val="00D1289B"/>
    <w:rsid w:val="00D14102"/>
    <w:rsid w:val="00D144E9"/>
    <w:rsid w:val="00D14A4C"/>
    <w:rsid w:val="00D14E47"/>
    <w:rsid w:val="00D15075"/>
    <w:rsid w:val="00D15FA9"/>
    <w:rsid w:val="00D16208"/>
    <w:rsid w:val="00D16BC0"/>
    <w:rsid w:val="00D171BE"/>
    <w:rsid w:val="00D20105"/>
    <w:rsid w:val="00D206E3"/>
    <w:rsid w:val="00D208B0"/>
    <w:rsid w:val="00D22E10"/>
    <w:rsid w:val="00D231A5"/>
    <w:rsid w:val="00D23335"/>
    <w:rsid w:val="00D257EA"/>
    <w:rsid w:val="00D27BC5"/>
    <w:rsid w:val="00D30083"/>
    <w:rsid w:val="00D304FF"/>
    <w:rsid w:val="00D31D40"/>
    <w:rsid w:val="00D33A15"/>
    <w:rsid w:val="00D34645"/>
    <w:rsid w:val="00D34AF5"/>
    <w:rsid w:val="00D34F31"/>
    <w:rsid w:val="00D359F1"/>
    <w:rsid w:val="00D361CC"/>
    <w:rsid w:val="00D369CE"/>
    <w:rsid w:val="00D36B5A"/>
    <w:rsid w:val="00D36F71"/>
    <w:rsid w:val="00D37207"/>
    <w:rsid w:val="00D378F1"/>
    <w:rsid w:val="00D41B5C"/>
    <w:rsid w:val="00D41ED3"/>
    <w:rsid w:val="00D42263"/>
    <w:rsid w:val="00D42F5D"/>
    <w:rsid w:val="00D4327F"/>
    <w:rsid w:val="00D43280"/>
    <w:rsid w:val="00D43DAD"/>
    <w:rsid w:val="00D44CB3"/>
    <w:rsid w:val="00D4555B"/>
    <w:rsid w:val="00D45BCA"/>
    <w:rsid w:val="00D4644E"/>
    <w:rsid w:val="00D46788"/>
    <w:rsid w:val="00D47799"/>
    <w:rsid w:val="00D4786E"/>
    <w:rsid w:val="00D47DE9"/>
    <w:rsid w:val="00D505A9"/>
    <w:rsid w:val="00D507A6"/>
    <w:rsid w:val="00D50A16"/>
    <w:rsid w:val="00D50AB8"/>
    <w:rsid w:val="00D50DDD"/>
    <w:rsid w:val="00D516E4"/>
    <w:rsid w:val="00D517BD"/>
    <w:rsid w:val="00D51FEF"/>
    <w:rsid w:val="00D520A4"/>
    <w:rsid w:val="00D52568"/>
    <w:rsid w:val="00D52F40"/>
    <w:rsid w:val="00D54F08"/>
    <w:rsid w:val="00D555CE"/>
    <w:rsid w:val="00D55DC8"/>
    <w:rsid w:val="00D55E3A"/>
    <w:rsid w:val="00D56C1F"/>
    <w:rsid w:val="00D5744E"/>
    <w:rsid w:val="00D606CA"/>
    <w:rsid w:val="00D6075C"/>
    <w:rsid w:val="00D60CC7"/>
    <w:rsid w:val="00D6101F"/>
    <w:rsid w:val="00D61067"/>
    <w:rsid w:val="00D6113B"/>
    <w:rsid w:val="00D61F45"/>
    <w:rsid w:val="00D62969"/>
    <w:rsid w:val="00D62EB0"/>
    <w:rsid w:val="00D64308"/>
    <w:rsid w:val="00D661A1"/>
    <w:rsid w:val="00D66E3B"/>
    <w:rsid w:val="00D67663"/>
    <w:rsid w:val="00D67B19"/>
    <w:rsid w:val="00D7100E"/>
    <w:rsid w:val="00D715B0"/>
    <w:rsid w:val="00D71DDA"/>
    <w:rsid w:val="00D71E63"/>
    <w:rsid w:val="00D71FEF"/>
    <w:rsid w:val="00D7222F"/>
    <w:rsid w:val="00D72E7D"/>
    <w:rsid w:val="00D73318"/>
    <w:rsid w:val="00D74406"/>
    <w:rsid w:val="00D746E9"/>
    <w:rsid w:val="00D74B1C"/>
    <w:rsid w:val="00D74B42"/>
    <w:rsid w:val="00D74B90"/>
    <w:rsid w:val="00D751F0"/>
    <w:rsid w:val="00D752CE"/>
    <w:rsid w:val="00D75773"/>
    <w:rsid w:val="00D75DD7"/>
    <w:rsid w:val="00D75E65"/>
    <w:rsid w:val="00D75F37"/>
    <w:rsid w:val="00D775D7"/>
    <w:rsid w:val="00D778AA"/>
    <w:rsid w:val="00D806C6"/>
    <w:rsid w:val="00D8075C"/>
    <w:rsid w:val="00D80942"/>
    <w:rsid w:val="00D813E3"/>
    <w:rsid w:val="00D81F38"/>
    <w:rsid w:val="00D8352A"/>
    <w:rsid w:val="00D84105"/>
    <w:rsid w:val="00D84286"/>
    <w:rsid w:val="00D84CE2"/>
    <w:rsid w:val="00D84F77"/>
    <w:rsid w:val="00D85266"/>
    <w:rsid w:val="00D85B81"/>
    <w:rsid w:val="00D85F4B"/>
    <w:rsid w:val="00D865D9"/>
    <w:rsid w:val="00D87F7D"/>
    <w:rsid w:val="00D90316"/>
    <w:rsid w:val="00D906BF"/>
    <w:rsid w:val="00D906FC"/>
    <w:rsid w:val="00D90B34"/>
    <w:rsid w:val="00D90ECD"/>
    <w:rsid w:val="00D9105F"/>
    <w:rsid w:val="00D92741"/>
    <w:rsid w:val="00D92E01"/>
    <w:rsid w:val="00D92E07"/>
    <w:rsid w:val="00D93A0C"/>
    <w:rsid w:val="00D94987"/>
    <w:rsid w:val="00D950AC"/>
    <w:rsid w:val="00D952E6"/>
    <w:rsid w:val="00D95615"/>
    <w:rsid w:val="00D9755B"/>
    <w:rsid w:val="00D97B9F"/>
    <w:rsid w:val="00D97FAA"/>
    <w:rsid w:val="00DA0142"/>
    <w:rsid w:val="00DA0638"/>
    <w:rsid w:val="00DA084E"/>
    <w:rsid w:val="00DA0E3E"/>
    <w:rsid w:val="00DA1682"/>
    <w:rsid w:val="00DA1F45"/>
    <w:rsid w:val="00DA23DA"/>
    <w:rsid w:val="00DA2577"/>
    <w:rsid w:val="00DA2733"/>
    <w:rsid w:val="00DA2CAB"/>
    <w:rsid w:val="00DA2FAC"/>
    <w:rsid w:val="00DA2FC3"/>
    <w:rsid w:val="00DA32FB"/>
    <w:rsid w:val="00DA3ACF"/>
    <w:rsid w:val="00DA3B5F"/>
    <w:rsid w:val="00DA41B1"/>
    <w:rsid w:val="00DA46D8"/>
    <w:rsid w:val="00DA6659"/>
    <w:rsid w:val="00DA75D1"/>
    <w:rsid w:val="00DB0359"/>
    <w:rsid w:val="00DB171B"/>
    <w:rsid w:val="00DB1EE1"/>
    <w:rsid w:val="00DB3255"/>
    <w:rsid w:val="00DB32C5"/>
    <w:rsid w:val="00DB3956"/>
    <w:rsid w:val="00DB44A4"/>
    <w:rsid w:val="00DB4CEF"/>
    <w:rsid w:val="00DB521C"/>
    <w:rsid w:val="00DB6797"/>
    <w:rsid w:val="00DB797E"/>
    <w:rsid w:val="00DB7A11"/>
    <w:rsid w:val="00DC01FC"/>
    <w:rsid w:val="00DC0522"/>
    <w:rsid w:val="00DC0DAF"/>
    <w:rsid w:val="00DC0E9C"/>
    <w:rsid w:val="00DC1365"/>
    <w:rsid w:val="00DC14B2"/>
    <w:rsid w:val="00DC1E35"/>
    <w:rsid w:val="00DC225F"/>
    <w:rsid w:val="00DC2F73"/>
    <w:rsid w:val="00DC32C4"/>
    <w:rsid w:val="00DC33EB"/>
    <w:rsid w:val="00DC3570"/>
    <w:rsid w:val="00DC3620"/>
    <w:rsid w:val="00DC36DB"/>
    <w:rsid w:val="00DC37F9"/>
    <w:rsid w:val="00DC438F"/>
    <w:rsid w:val="00DC489A"/>
    <w:rsid w:val="00DC53F1"/>
    <w:rsid w:val="00DC5883"/>
    <w:rsid w:val="00DC623C"/>
    <w:rsid w:val="00DC7919"/>
    <w:rsid w:val="00DC7B85"/>
    <w:rsid w:val="00DC7D65"/>
    <w:rsid w:val="00DD0122"/>
    <w:rsid w:val="00DD02D5"/>
    <w:rsid w:val="00DD08B4"/>
    <w:rsid w:val="00DD0BFC"/>
    <w:rsid w:val="00DD1695"/>
    <w:rsid w:val="00DD24B1"/>
    <w:rsid w:val="00DD2B59"/>
    <w:rsid w:val="00DD2F5F"/>
    <w:rsid w:val="00DD3777"/>
    <w:rsid w:val="00DD4A07"/>
    <w:rsid w:val="00DD4C25"/>
    <w:rsid w:val="00DD5162"/>
    <w:rsid w:val="00DD57ED"/>
    <w:rsid w:val="00DD5DC9"/>
    <w:rsid w:val="00DD6362"/>
    <w:rsid w:val="00DD66BA"/>
    <w:rsid w:val="00DD6951"/>
    <w:rsid w:val="00DD7672"/>
    <w:rsid w:val="00DD79B2"/>
    <w:rsid w:val="00DD7DBD"/>
    <w:rsid w:val="00DE0009"/>
    <w:rsid w:val="00DE11AA"/>
    <w:rsid w:val="00DE15C3"/>
    <w:rsid w:val="00DE189A"/>
    <w:rsid w:val="00DE1A9D"/>
    <w:rsid w:val="00DE27F1"/>
    <w:rsid w:val="00DE2B1B"/>
    <w:rsid w:val="00DE2E0A"/>
    <w:rsid w:val="00DE307F"/>
    <w:rsid w:val="00DE327C"/>
    <w:rsid w:val="00DE45A6"/>
    <w:rsid w:val="00DE4D96"/>
    <w:rsid w:val="00DE5079"/>
    <w:rsid w:val="00DE52DF"/>
    <w:rsid w:val="00DE6592"/>
    <w:rsid w:val="00DE6B22"/>
    <w:rsid w:val="00DE6D96"/>
    <w:rsid w:val="00DE6EFF"/>
    <w:rsid w:val="00DE768B"/>
    <w:rsid w:val="00DE7769"/>
    <w:rsid w:val="00DE77DE"/>
    <w:rsid w:val="00DF0E56"/>
    <w:rsid w:val="00DF1C77"/>
    <w:rsid w:val="00DF1CBF"/>
    <w:rsid w:val="00DF20EE"/>
    <w:rsid w:val="00DF2335"/>
    <w:rsid w:val="00DF2519"/>
    <w:rsid w:val="00DF370C"/>
    <w:rsid w:val="00DF475B"/>
    <w:rsid w:val="00DF5688"/>
    <w:rsid w:val="00DF57C0"/>
    <w:rsid w:val="00DF5C92"/>
    <w:rsid w:val="00DF5E4F"/>
    <w:rsid w:val="00DF6297"/>
    <w:rsid w:val="00DF651F"/>
    <w:rsid w:val="00DF6DB0"/>
    <w:rsid w:val="00DF7F89"/>
    <w:rsid w:val="00DF7F8A"/>
    <w:rsid w:val="00E00054"/>
    <w:rsid w:val="00E00720"/>
    <w:rsid w:val="00E0094B"/>
    <w:rsid w:val="00E00CC9"/>
    <w:rsid w:val="00E02075"/>
    <w:rsid w:val="00E02A9E"/>
    <w:rsid w:val="00E044F8"/>
    <w:rsid w:val="00E05E7D"/>
    <w:rsid w:val="00E06566"/>
    <w:rsid w:val="00E0695B"/>
    <w:rsid w:val="00E06B8D"/>
    <w:rsid w:val="00E06D03"/>
    <w:rsid w:val="00E0713C"/>
    <w:rsid w:val="00E0742C"/>
    <w:rsid w:val="00E10B7C"/>
    <w:rsid w:val="00E117F5"/>
    <w:rsid w:val="00E11DBD"/>
    <w:rsid w:val="00E11E4C"/>
    <w:rsid w:val="00E12CCF"/>
    <w:rsid w:val="00E13E5A"/>
    <w:rsid w:val="00E14174"/>
    <w:rsid w:val="00E143AE"/>
    <w:rsid w:val="00E14868"/>
    <w:rsid w:val="00E14E80"/>
    <w:rsid w:val="00E150F3"/>
    <w:rsid w:val="00E16213"/>
    <w:rsid w:val="00E1666C"/>
    <w:rsid w:val="00E16A55"/>
    <w:rsid w:val="00E16B30"/>
    <w:rsid w:val="00E16EB1"/>
    <w:rsid w:val="00E16FE4"/>
    <w:rsid w:val="00E206DE"/>
    <w:rsid w:val="00E20804"/>
    <w:rsid w:val="00E208DC"/>
    <w:rsid w:val="00E21945"/>
    <w:rsid w:val="00E21B16"/>
    <w:rsid w:val="00E225C2"/>
    <w:rsid w:val="00E23A4E"/>
    <w:rsid w:val="00E23CA6"/>
    <w:rsid w:val="00E23EC3"/>
    <w:rsid w:val="00E244FB"/>
    <w:rsid w:val="00E248C7"/>
    <w:rsid w:val="00E26B0D"/>
    <w:rsid w:val="00E27061"/>
    <w:rsid w:val="00E27DB7"/>
    <w:rsid w:val="00E303F3"/>
    <w:rsid w:val="00E30C10"/>
    <w:rsid w:val="00E30C4C"/>
    <w:rsid w:val="00E33A33"/>
    <w:rsid w:val="00E33AB0"/>
    <w:rsid w:val="00E3427C"/>
    <w:rsid w:val="00E34A98"/>
    <w:rsid w:val="00E34F23"/>
    <w:rsid w:val="00E358A7"/>
    <w:rsid w:val="00E3599A"/>
    <w:rsid w:val="00E36131"/>
    <w:rsid w:val="00E368E1"/>
    <w:rsid w:val="00E369D4"/>
    <w:rsid w:val="00E36EBA"/>
    <w:rsid w:val="00E37900"/>
    <w:rsid w:val="00E407AA"/>
    <w:rsid w:val="00E40C51"/>
    <w:rsid w:val="00E41165"/>
    <w:rsid w:val="00E41281"/>
    <w:rsid w:val="00E42184"/>
    <w:rsid w:val="00E42319"/>
    <w:rsid w:val="00E42550"/>
    <w:rsid w:val="00E43075"/>
    <w:rsid w:val="00E4344C"/>
    <w:rsid w:val="00E43A83"/>
    <w:rsid w:val="00E44F31"/>
    <w:rsid w:val="00E45A3D"/>
    <w:rsid w:val="00E46869"/>
    <w:rsid w:val="00E46F7F"/>
    <w:rsid w:val="00E46FA7"/>
    <w:rsid w:val="00E475E7"/>
    <w:rsid w:val="00E50280"/>
    <w:rsid w:val="00E519EB"/>
    <w:rsid w:val="00E51D13"/>
    <w:rsid w:val="00E52031"/>
    <w:rsid w:val="00E52C62"/>
    <w:rsid w:val="00E5332A"/>
    <w:rsid w:val="00E53334"/>
    <w:rsid w:val="00E540BF"/>
    <w:rsid w:val="00E551B4"/>
    <w:rsid w:val="00E55F94"/>
    <w:rsid w:val="00E562D8"/>
    <w:rsid w:val="00E56380"/>
    <w:rsid w:val="00E56CFF"/>
    <w:rsid w:val="00E56D52"/>
    <w:rsid w:val="00E574CF"/>
    <w:rsid w:val="00E575E5"/>
    <w:rsid w:val="00E575F7"/>
    <w:rsid w:val="00E5760D"/>
    <w:rsid w:val="00E6058D"/>
    <w:rsid w:val="00E60B00"/>
    <w:rsid w:val="00E610B8"/>
    <w:rsid w:val="00E61F81"/>
    <w:rsid w:val="00E62847"/>
    <w:rsid w:val="00E628D8"/>
    <w:rsid w:val="00E62A57"/>
    <w:rsid w:val="00E63604"/>
    <w:rsid w:val="00E65799"/>
    <w:rsid w:val="00E67FAC"/>
    <w:rsid w:val="00E7113B"/>
    <w:rsid w:val="00E71583"/>
    <w:rsid w:val="00E71C85"/>
    <w:rsid w:val="00E72408"/>
    <w:rsid w:val="00E72D7D"/>
    <w:rsid w:val="00E72DE8"/>
    <w:rsid w:val="00E73865"/>
    <w:rsid w:val="00E74745"/>
    <w:rsid w:val="00E74A1D"/>
    <w:rsid w:val="00E75E30"/>
    <w:rsid w:val="00E75FC2"/>
    <w:rsid w:val="00E764B4"/>
    <w:rsid w:val="00E766CA"/>
    <w:rsid w:val="00E76722"/>
    <w:rsid w:val="00E7682D"/>
    <w:rsid w:val="00E76AB4"/>
    <w:rsid w:val="00E76F56"/>
    <w:rsid w:val="00E77013"/>
    <w:rsid w:val="00E7721B"/>
    <w:rsid w:val="00E775B9"/>
    <w:rsid w:val="00E77CAE"/>
    <w:rsid w:val="00E77EE4"/>
    <w:rsid w:val="00E801D7"/>
    <w:rsid w:val="00E802B2"/>
    <w:rsid w:val="00E80471"/>
    <w:rsid w:val="00E80D85"/>
    <w:rsid w:val="00E80FCC"/>
    <w:rsid w:val="00E81092"/>
    <w:rsid w:val="00E8120C"/>
    <w:rsid w:val="00E812CD"/>
    <w:rsid w:val="00E82138"/>
    <w:rsid w:val="00E82695"/>
    <w:rsid w:val="00E82942"/>
    <w:rsid w:val="00E82C86"/>
    <w:rsid w:val="00E83677"/>
    <w:rsid w:val="00E83B02"/>
    <w:rsid w:val="00E8510E"/>
    <w:rsid w:val="00E851FF"/>
    <w:rsid w:val="00E85DD3"/>
    <w:rsid w:val="00E85F40"/>
    <w:rsid w:val="00E8677C"/>
    <w:rsid w:val="00E869B3"/>
    <w:rsid w:val="00E875B2"/>
    <w:rsid w:val="00E875DF"/>
    <w:rsid w:val="00E87B37"/>
    <w:rsid w:val="00E87CE6"/>
    <w:rsid w:val="00E87CF3"/>
    <w:rsid w:val="00E914F8"/>
    <w:rsid w:val="00E91A1B"/>
    <w:rsid w:val="00E91A66"/>
    <w:rsid w:val="00E91E96"/>
    <w:rsid w:val="00E9213D"/>
    <w:rsid w:val="00E92B63"/>
    <w:rsid w:val="00E92D16"/>
    <w:rsid w:val="00E92E3C"/>
    <w:rsid w:val="00E930B3"/>
    <w:rsid w:val="00E93343"/>
    <w:rsid w:val="00E941EA"/>
    <w:rsid w:val="00E94558"/>
    <w:rsid w:val="00E94DDE"/>
    <w:rsid w:val="00E9557E"/>
    <w:rsid w:val="00E95809"/>
    <w:rsid w:val="00E96195"/>
    <w:rsid w:val="00E9634F"/>
    <w:rsid w:val="00E96C3E"/>
    <w:rsid w:val="00E970FE"/>
    <w:rsid w:val="00E97725"/>
    <w:rsid w:val="00E97CB9"/>
    <w:rsid w:val="00EA0209"/>
    <w:rsid w:val="00EA0A9E"/>
    <w:rsid w:val="00EA1126"/>
    <w:rsid w:val="00EA115F"/>
    <w:rsid w:val="00EA13EE"/>
    <w:rsid w:val="00EA1D22"/>
    <w:rsid w:val="00EA2A79"/>
    <w:rsid w:val="00EA4F48"/>
    <w:rsid w:val="00EA5CD1"/>
    <w:rsid w:val="00EA645D"/>
    <w:rsid w:val="00EA68BB"/>
    <w:rsid w:val="00EA6C66"/>
    <w:rsid w:val="00EA6EF4"/>
    <w:rsid w:val="00EA6FA9"/>
    <w:rsid w:val="00EA7C9D"/>
    <w:rsid w:val="00EB005A"/>
    <w:rsid w:val="00EB0AF4"/>
    <w:rsid w:val="00EB1115"/>
    <w:rsid w:val="00EB1E07"/>
    <w:rsid w:val="00EB24B9"/>
    <w:rsid w:val="00EB27A5"/>
    <w:rsid w:val="00EB27FE"/>
    <w:rsid w:val="00EB2A14"/>
    <w:rsid w:val="00EB36E3"/>
    <w:rsid w:val="00EB370B"/>
    <w:rsid w:val="00EB3917"/>
    <w:rsid w:val="00EB3DBB"/>
    <w:rsid w:val="00EB496F"/>
    <w:rsid w:val="00EB4CB9"/>
    <w:rsid w:val="00EB4D29"/>
    <w:rsid w:val="00EB4E1B"/>
    <w:rsid w:val="00EB541C"/>
    <w:rsid w:val="00EB777A"/>
    <w:rsid w:val="00EC0516"/>
    <w:rsid w:val="00EC07A2"/>
    <w:rsid w:val="00EC13CB"/>
    <w:rsid w:val="00EC2A00"/>
    <w:rsid w:val="00EC337A"/>
    <w:rsid w:val="00EC4DAD"/>
    <w:rsid w:val="00EC6048"/>
    <w:rsid w:val="00EC610E"/>
    <w:rsid w:val="00EC6722"/>
    <w:rsid w:val="00EC6B8D"/>
    <w:rsid w:val="00EC7453"/>
    <w:rsid w:val="00ED01F1"/>
    <w:rsid w:val="00ED03D2"/>
    <w:rsid w:val="00ED0C53"/>
    <w:rsid w:val="00ED20BB"/>
    <w:rsid w:val="00ED23CD"/>
    <w:rsid w:val="00ED26DB"/>
    <w:rsid w:val="00ED2DE2"/>
    <w:rsid w:val="00ED3467"/>
    <w:rsid w:val="00ED3CF2"/>
    <w:rsid w:val="00ED40F1"/>
    <w:rsid w:val="00ED4202"/>
    <w:rsid w:val="00ED4680"/>
    <w:rsid w:val="00ED46FF"/>
    <w:rsid w:val="00ED5ADA"/>
    <w:rsid w:val="00ED5EA5"/>
    <w:rsid w:val="00ED64A7"/>
    <w:rsid w:val="00EE18E1"/>
    <w:rsid w:val="00EE25F7"/>
    <w:rsid w:val="00EE2847"/>
    <w:rsid w:val="00EE29AB"/>
    <w:rsid w:val="00EE52A1"/>
    <w:rsid w:val="00EE6323"/>
    <w:rsid w:val="00EE6612"/>
    <w:rsid w:val="00EE6C9E"/>
    <w:rsid w:val="00EF0267"/>
    <w:rsid w:val="00EF18C1"/>
    <w:rsid w:val="00EF1D9A"/>
    <w:rsid w:val="00EF2A11"/>
    <w:rsid w:val="00EF2A26"/>
    <w:rsid w:val="00EF3004"/>
    <w:rsid w:val="00EF377F"/>
    <w:rsid w:val="00EF3BB9"/>
    <w:rsid w:val="00EF3D6E"/>
    <w:rsid w:val="00EF3F0B"/>
    <w:rsid w:val="00EF500E"/>
    <w:rsid w:val="00EF5A37"/>
    <w:rsid w:val="00EF6846"/>
    <w:rsid w:val="00EF7876"/>
    <w:rsid w:val="00F01387"/>
    <w:rsid w:val="00F015C0"/>
    <w:rsid w:val="00F01736"/>
    <w:rsid w:val="00F018BE"/>
    <w:rsid w:val="00F01E6E"/>
    <w:rsid w:val="00F02186"/>
    <w:rsid w:val="00F025DD"/>
    <w:rsid w:val="00F0345E"/>
    <w:rsid w:val="00F0394A"/>
    <w:rsid w:val="00F04C8F"/>
    <w:rsid w:val="00F0509B"/>
    <w:rsid w:val="00F05327"/>
    <w:rsid w:val="00F05374"/>
    <w:rsid w:val="00F054EE"/>
    <w:rsid w:val="00F05B0F"/>
    <w:rsid w:val="00F05D11"/>
    <w:rsid w:val="00F05F4A"/>
    <w:rsid w:val="00F06226"/>
    <w:rsid w:val="00F063FA"/>
    <w:rsid w:val="00F06F39"/>
    <w:rsid w:val="00F10365"/>
    <w:rsid w:val="00F104C7"/>
    <w:rsid w:val="00F10B17"/>
    <w:rsid w:val="00F10B68"/>
    <w:rsid w:val="00F10CE9"/>
    <w:rsid w:val="00F10EDF"/>
    <w:rsid w:val="00F11051"/>
    <w:rsid w:val="00F12267"/>
    <w:rsid w:val="00F1238E"/>
    <w:rsid w:val="00F13141"/>
    <w:rsid w:val="00F1383C"/>
    <w:rsid w:val="00F138A7"/>
    <w:rsid w:val="00F143AF"/>
    <w:rsid w:val="00F150C2"/>
    <w:rsid w:val="00F156EF"/>
    <w:rsid w:val="00F158D2"/>
    <w:rsid w:val="00F15995"/>
    <w:rsid w:val="00F17027"/>
    <w:rsid w:val="00F172A9"/>
    <w:rsid w:val="00F17630"/>
    <w:rsid w:val="00F1797F"/>
    <w:rsid w:val="00F179E8"/>
    <w:rsid w:val="00F20B13"/>
    <w:rsid w:val="00F21236"/>
    <w:rsid w:val="00F216E7"/>
    <w:rsid w:val="00F21A5F"/>
    <w:rsid w:val="00F23753"/>
    <w:rsid w:val="00F23C4F"/>
    <w:rsid w:val="00F23FAD"/>
    <w:rsid w:val="00F24153"/>
    <w:rsid w:val="00F246C7"/>
    <w:rsid w:val="00F249B4"/>
    <w:rsid w:val="00F24D95"/>
    <w:rsid w:val="00F252CB"/>
    <w:rsid w:val="00F25596"/>
    <w:rsid w:val="00F26465"/>
    <w:rsid w:val="00F271B1"/>
    <w:rsid w:val="00F27941"/>
    <w:rsid w:val="00F3091D"/>
    <w:rsid w:val="00F30F7A"/>
    <w:rsid w:val="00F3118E"/>
    <w:rsid w:val="00F3133C"/>
    <w:rsid w:val="00F31771"/>
    <w:rsid w:val="00F31E19"/>
    <w:rsid w:val="00F31F00"/>
    <w:rsid w:val="00F331CB"/>
    <w:rsid w:val="00F34D4C"/>
    <w:rsid w:val="00F3552D"/>
    <w:rsid w:val="00F35A5C"/>
    <w:rsid w:val="00F360B1"/>
    <w:rsid w:val="00F365D1"/>
    <w:rsid w:val="00F366B3"/>
    <w:rsid w:val="00F36DED"/>
    <w:rsid w:val="00F37400"/>
    <w:rsid w:val="00F37900"/>
    <w:rsid w:val="00F37F5A"/>
    <w:rsid w:val="00F40175"/>
    <w:rsid w:val="00F40939"/>
    <w:rsid w:val="00F413AB"/>
    <w:rsid w:val="00F41DC5"/>
    <w:rsid w:val="00F420D3"/>
    <w:rsid w:val="00F42388"/>
    <w:rsid w:val="00F4248A"/>
    <w:rsid w:val="00F42689"/>
    <w:rsid w:val="00F42903"/>
    <w:rsid w:val="00F43B4F"/>
    <w:rsid w:val="00F43DBD"/>
    <w:rsid w:val="00F44511"/>
    <w:rsid w:val="00F45096"/>
    <w:rsid w:val="00F45E1D"/>
    <w:rsid w:val="00F45EC1"/>
    <w:rsid w:val="00F461A4"/>
    <w:rsid w:val="00F46283"/>
    <w:rsid w:val="00F46B5A"/>
    <w:rsid w:val="00F470E9"/>
    <w:rsid w:val="00F4740B"/>
    <w:rsid w:val="00F477C7"/>
    <w:rsid w:val="00F47EFE"/>
    <w:rsid w:val="00F5025D"/>
    <w:rsid w:val="00F50544"/>
    <w:rsid w:val="00F5156B"/>
    <w:rsid w:val="00F516BF"/>
    <w:rsid w:val="00F519F1"/>
    <w:rsid w:val="00F51FF6"/>
    <w:rsid w:val="00F52558"/>
    <w:rsid w:val="00F53310"/>
    <w:rsid w:val="00F535E9"/>
    <w:rsid w:val="00F55DA7"/>
    <w:rsid w:val="00F55DBA"/>
    <w:rsid w:val="00F56059"/>
    <w:rsid w:val="00F569E4"/>
    <w:rsid w:val="00F57344"/>
    <w:rsid w:val="00F5739E"/>
    <w:rsid w:val="00F575A4"/>
    <w:rsid w:val="00F57768"/>
    <w:rsid w:val="00F577AD"/>
    <w:rsid w:val="00F577FE"/>
    <w:rsid w:val="00F57B84"/>
    <w:rsid w:val="00F6028C"/>
    <w:rsid w:val="00F60799"/>
    <w:rsid w:val="00F6097C"/>
    <w:rsid w:val="00F6253A"/>
    <w:rsid w:val="00F62B4F"/>
    <w:rsid w:val="00F62E17"/>
    <w:rsid w:val="00F62E19"/>
    <w:rsid w:val="00F6351C"/>
    <w:rsid w:val="00F6450F"/>
    <w:rsid w:val="00F6471C"/>
    <w:rsid w:val="00F65D19"/>
    <w:rsid w:val="00F66D10"/>
    <w:rsid w:val="00F67C8C"/>
    <w:rsid w:val="00F67EEF"/>
    <w:rsid w:val="00F67F02"/>
    <w:rsid w:val="00F67F6E"/>
    <w:rsid w:val="00F7078F"/>
    <w:rsid w:val="00F707B9"/>
    <w:rsid w:val="00F7088B"/>
    <w:rsid w:val="00F71F7B"/>
    <w:rsid w:val="00F72264"/>
    <w:rsid w:val="00F72301"/>
    <w:rsid w:val="00F7299D"/>
    <w:rsid w:val="00F72F32"/>
    <w:rsid w:val="00F72F74"/>
    <w:rsid w:val="00F7319B"/>
    <w:rsid w:val="00F7339C"/>
    <w:rsid w:val="00F7359E"/>
    <w:rsid w:val="00F73F54"/>
    <w:rsid w:val="00F74116"/>
    <w:rsid w:val="00F74157"/>
    <w:rsid w:val="00F74E3E"/>
    <w:rsid w:val="00F75198"/>
    <w:rsid w:val="00F75A7B"/>
    <w:rsid w:val="00F7697E"/>
    <w:rsid w:val="00F76B4C"/>
    <w:rsid w:val="00F77069"/>
    <w:rsid w:val="00F77448"/>
    <w:rsid w:val="00F77456"/>
    <w:rsid w:val="00F77703"/>
    <w:rsid w:val="00F806EA"/>
    <w:rsid w:val="00F81C14"/>
    <w:rsid w:val="00F831E8"/>
    <w:rsid w:val="00F835EB"/>
    <w:rsid w:val="00F83675"/>
    <w:rsid w:val="00F84773"/>
    <w:rsid w:val="00F8559E"/>
    <w:rsid w:val="00F855B8"/>
    <w:rsid w:val="00F859A2"/>
    <w:rsid w:val="00F8613E"/>
    <w:rsid w:val="00F86F40"/>
    <w:rsid w:val="00F87EA5"/>
    <w:rsid w:val="00F900AD"/>
    <w:rsid w:val="00F90261"/>
    <w:rsid w:val="00F90405"/>
    <w:rsid w:val="00F90A59"/>
    <w:rsid w:val="00F90A80"/>
    <w:rsid w:val="00F90EF7"/>
    <w:rsid w:val="00F91B8D"/>
    <w:rsid w:val="00F92307"/>
    <w:rsid w:val="00F923E1"/>
    <w:rsid w:val="00F93EA5"/>
    <w:rsid w:val="00F9451A"/>
    <w:rsid w:val="00F9485A"/>
    <w:rsid w:val="00F94FA7"/>
    <w:rsid w:val="00F9522E"/>
    <w:rsid w:val="00F954AB"/>
    <w:rsid w:val="00F95951"/>
    <w:rsid w:val="00F963E3"/>
    <w:rsid w:val="00F96E02"/>
    <w:rsid w:val="00F97E03"/>
    <w:rsid w:val="00FA0821"/>
    <w:rsid w:val="00FA16DD"/>
    <w:rsid w:val="00FA19AA"/>
    <w:rsid w:val="00FA1E16"/>
    <w:rsid w:val="00FA21AE"/>
    <w:rsid w:val="00FA2670"/>
    <w:rsid w:val="00FA27E4"/>
    <w:rsid w:val="00FA2ECD"/>
    <w:rsid w:val="00FA347E"/>
    <w:rsid w:val="00FA358D"/>
    <w:rsid w:val="00FA3E23"/>
    <w:rsid w:val="00FA41DC"/>
    <w:rsid w:val="00FA429B"/>
    <w:rsid w:val="00FA43A5"/>
    <w:rsid w:val="00FA468A"/>
    <w:rsid w:val="00FA5062"/>
    <w:rsid w:val="00FA5B70"/>
    <w:rsid w:val="00FA62E2"/>
    <w:rsid w:val="00FA7EF7"/>
    <w:rsid w:val="00FB0A15"/>
    <w:rsid w:val="00FB151A"/>
    <w:rsid w:val="00FB265D"/>
    <w:rsid w:val="00FB43DE"/>
    <w:rsid w:val="00FB4658"/>
    <w:rsid w:val="00FB58A8"/>
    <w:rsid w:val="00FB6725"/>
    <w:rsid w:val="00FC0752"/>
    <w:rsid w:val="00FC10E6"/>
    <w:rsid w:val="00FC1440"/>
    <w:rsid w:val="00FC1630"/>
    <w:rsid w:val="00FC1940"/>
    <w:rsid w:val="00FC1B89"/>
    <w:rsid w:val="00FC263D"/>
    <w:rsid w:val="00FC2757"/>
    <w:rsid w:val="00FC30DE"/>
    <w:rsid w:val="00FC399F"/>
    <w:rsid w:val="00FC3E43"/>
    <w:rsid w:val="00FC408A"/>
    <w:rsid w:val="00FC4F8E"/>
    <w:rsid w:val="00FC570E"/>
    <w:rsid w:val="00FC5D2B"/>
    <w:rsid w:val="00FC63DE"/>
    <w:rsid w:val="00FC649A"/>
    <w:rsid w:val="00FC70E7"/>
    <w:rsid w:val="00FC7240"/>
    <w:rsid w:val="00FC747E"/>
    <w:rsid w:val="00FC76C0"/>
    <w:rsid w:val="00FD00F8"/>
    <w:rsid w:val="00FD0C0B"/>
    <w:rsid w:val="00FD0F3D"/>
    <w:rsid w:val="00FD2B08"/>
    <w:rsid w:val="00FD2C3F"/>
    <w:rsid w:val="00FD2C92"/>
    <w:rsid w:val="00FD2E38"/>
    <w:rsid w:val="00FD3373"/>
    <w:rsid w:val="00FD374A"/>
    <w:rsid w:val="00FD3E80"/>
    <w:rsid w:val="00FD47CC"/>
    <w:rsid w:val="00FD47E6"/>
    <w:rsid w:val="00FD48EE"/>
    <w:rsid w:val="00FD5692"/>
    <w:rsid w:val="00FD62E2"/>
    <w:rsid w:val="00FD691F"/>
    <w:rsid w:val="00FD7036"/>
    <w:rsid w:val="00FE0B06"/>
    <w:rsid w:val="00FE0DE3"/>
    <w:rsid w:val="00FE105D"/>
    <w:rsid w:val="00FE1C74"/>
    <w:rsid w:val="00FE41B5"/>
    <w:rsid w:val="00FE4BC5"/>
    <w:rsid w:val="00FE4EDC"/>
    <w:rsid w:val="00FE580D"/>
    <w:rsid w:val="00FE6517"/>
    <w:rsid w:val="00FE6633"/>
    <w:rsid w:val="00FE7493"/>
    <w:rsid w:val="00FF17AB"/>
    <w:rsid w:val="00FF182C"/>
    <w:rsid w:val="00FF1A37"/>
    <w:rsid w:val="00FF2278"/>
    <w:rsid w:val="00FF3248"/>
    <w:rsid w:val="00FF3358"/>
    <w:rsid w:val="00FF5DE1"/>
    <w:rsid w:val="00FF5F23"/>
    <w:rsid w:val="00FF62C3"/>
    <w:rsid w:val="00FF68EE"/>
    <w:rsid w:val="00FF69CB"/>
    <w:rsid w:val="00FF7C72"/>
    <w:rsid w:val="01020538"/>
    <w:rsid w:val="01390BCC"/>
    <w:rsid w:val="014A4B87"/>
    <w:rsid w:val="01883C66"/>
    <w:rsid w:val="01926850"/>
    <w:rsid w:val="019422A6"/>
    <w:rsid w:val="01995B0E"/>
    <w:rsid w:val="019E0390"/>
    <w:rsid w:val="01AD5116"/>
    <w:rsid w:val="01C7267B"/>
    <w:rsid w:val="01CE0BC4"/>
    <w:rsid w:val="01D6466C"/>
    <w:rsid w:val="01F5334F"/>
    <w:rsid w:val="022C5D7E"/>
    <w:rsid w:val="0247556A"/>
    <w:rsid w:val="027C5214"/>
    <w:rsid w:val="02DD45B5"/>
    <w:rsid w:val="02E4134D"/>
    <w:rsid w:val="02EF78F2"/>
    <w:rsid w:val="033C2BF5"/>
    <w:rsid w:val="03A53E9B"/>
    <w:rsid w:val="03BE360A"/>
    <w:rsid w:val="03C350C4"/>
    <w:rsid w:val="03FC584B"/>
    <w:rsid w:val="045F1DAE"/>
    <w:rsid w:val="04753641"/>
    <w:rsid w:val="0506170D"/>
    <w:rsid w:val="05273E55"/>
    <w:rsid w:val="05373674"/>
    <w:rsid w:val="05404C1F"/>
    <w:rsid w:val="059910B2"/>
    <w:rsid w:val="05B60A3D"/>
    <w:rsid w:val="060F7C7D"/>
    <w:rsid w:val="06253E14"/>
    <w:rsid w:val="06491B22"/>
    <w:rsid w:val="066945CD"/>
    <w:rsid w:val="06695AAF"/>
    <w:rsid w:val="06C20079"/>
    <w:rsid w:val="06C47189"/>
    <w:rsid w:val="06D849E3"/>
    <w:rsid w:val="06E65352"/>
    <w:rsid w:val="07444B27"/>
    <w:rsid w:val="0759487F"/>
    <w:rsid w:val="07AF1BE8"/>
    <w:rsid w:val="07C03DF5"/>
    <w:rsid w:val="07DB0C2F"/>
    <w:rsid w:val="080320EB"/>
    <w:rsid w:val="080C1C9E"/>
    <w:rsid w:val="080D2DB2"/>
    <w:rsid w:val="081D0017"/>
    <w:rsid w:val="08C15EE6"/>
    <w:rsid w:val="08C93A2F"/>
    <w:rsid w:val="08F875BE"/>
    <w:rsid w:val="09081C91"/>
    <w:rsid w:val="090C3210"/>
    <w:rsid w:val="091066B6"/>
    <w:rsid w:val="09502F56"/>
    <w:rsid w:val="09640C9C"/>
    <w:rsid w:val="09C52C33"/>
    <w:rsid w:val="09DE0562"/>
    <w:rsid w:val="09E216CF"/>
    <w:rsid w:val="09F3519A"/>
    <w:rsid w:val="0A174C23"/>
    <w:rsid w:val="0A3D172D"/>
    <w:rsid w:val="0A6A0048"/>
    <w:rsid w:val="0A741F9F"/>
    <w:rsid w:val="0A750B09"/>
    <w:rsid w:val="0AA029DB"/>
    <w:rsid w:val="0AD804A2"/>
    <w:rsid w:val="0B0D1212"/>
    <w:rsid w:val="0B115C2C"/>
    <w:rsid w:val="0B220922"/>
    <w:rsid w:val="0B354AFA"/>
    <w:rsid w:val="0B61144B"/>
    <w:rsid w:val="0B7C0033"/>
    <w:rsid w:val="0BCE4606"/>
    <w:rsid w:val="0BE8795B"/>
    <w:rsid w:val="0BF3031A"/>
    <w:rsid w:val="0C3B4406"/>
    <w:rsid w:val="0C6D2880"/>
    <w:rsid w:val="0C7156BE"/>
    <w:rsid w:val="0CCC6B67"/>
    <w:rsid w:val="0CCD480C"/>
    <w:rsid w:val="0CD02F9A"/>
    <w:rsid w:val="0CF51B40"/>
    <w:rsid w:val="0CFD51A3"/>
    <w:rsid w:val="0D1E3AE0"/>
    <w:rsid w:val="0D3C46F6"/>
    <w:rsid w:val="0D4B2511"/>
    <w:rsid w:val="0D70006B"/>
    <w:rsid w:val="0D721DC0"/>
    <w:rsid w:val="0D7C6412"/>
    <w:rsid w:val="0D825D10"/>
    <w:rsid w:val="0D980066"/>
    <w:rsid w:val="0DAB6330"/>
    <w:rsid w:val="0DAE3773"/>
    <w:rsid w:val="0DBF68FD"/>
    <w:rsid w:val="0DEE73E4"/>
    <w:rsid w:val="0DF15835"/>
    <w:rsid w:val="0E06277D"/>
    <w:rsid w:val="0E1B6630"/>
    <w:rsid w:val="0E1F3685"/>
    <w:rsid w:val="0E856B3B"/>
    <w:rsid w:val="0E995AEA"/>
    <w:rsid w:val="0EE02FCE"/>
    <w:rsid w:val="0F056591"/>
    <w:rsid w:val="0F1A1D7C"/>
    <w:rsid w:val="0F296B1A"/>
    <w:rsid w:val="0F5F3EF3"/>
    <w:rsid w:val="0F76123D"/>
    <w:rsid w:val="0F7D25CB"/>
    <w:rsid w:val="0FA954A0"/>
    <w:rsid w:val="10060293"/>
    <w:rsid w:val="10186D88"/>
    <w:rsid w:val="10192792"/>
    <w:rsid w:val="10AD074F"/>
    <w:rsid w:val="10B168E9"/>
    <w:rsid w:val="10BD35C7"/>
    <w:rsid w:val="10C04E65"/>
    <w:rsid w:val="10D12BCF"/>
    <w:rsid w:val="10D14157"/>
    <w:rsid w:val="1111746F"/>
    <w:rsid w:val="11365128"/>
    <w:rsid w:val="11D51DF9"/>
    <w:rsid w:val="11F81B54"/>
    <w:rsid w:val="123E174D"/>
    <w:rsid w:val="1246139A"/>
    <w:rsid w:val="12A14823"/>
    <w:rsid w:val="12AB744F"/>
    <w:rsid w:val="12C10A21"/>
    <w:rsid w:val="12E666D9"/>
    <w:rsid w:val="1329770C"/>
    <w:rsid w:val="135B2C24"/>
    <w:rsid w:val="13743CE5"/>
    <w:rsid w:val="137E03F7"/>
    <w:rsid w:val="138C060E"/>
    <w:rsid w:val="13AE5449"/>
    <w:rsid w:val="13CB48BA"/>
    <w:rsid w:val="13DB3CB5"/>
    <w:rsid w:val="13DD09B1"/>
    <w:rsid w:val="13E40E6B"/>
    <w:rsid w:val="143C4803"/>
    <w:rsid w:val="14492E3C"/>
    <w:rsid w:val="14991C55"/>
    <w:rsid w:val="14BE346A"/>
    <w:rsid w:val="14D40DE6"/>
    <w:rsid w:val="152706C2"/>
    <w:rsid w:val="15314A5B"/>
    <w:rsid w:val="153B2D0D"/>
    <w:rsid w:val="15BC19CE"/>
    <w:rsid w:val="15EE2D31"/>
    <w:rsid w:val="163D0D06"/>
    <w:rsid w:val="16B819E9"/>
    <w:rsid w:val="17634700"/>
    <w:rsid w:val="176825E4"/>
    <w:rsid w:val="17763AAD"/>
    <w:rsid w:val="17D631C0"/>
    <w:rsid w:val="17F81389"/>
    <w:rsid w:val="17FC04C6"/>
    <w:rsid w:val="18493992"/>
    <w:rsid w:val="184C6FDF"/>
    <w:rsid w:val="18695DE3"/>
    <w:rsid w:val="18952734"/>
    <w:rsid w:val="18A1688D"/>
    <w:rsid w:val="18A21181"/>
    <w:rsid w:val="18B76B4E"/>
    <w:rsid w:val="18D50ACA"/>
    <w:rsid w:val="18E973F9"/>
    <w:rsid w:val="192D4440"/>
    <w:rsid w:val="192F4936"/>
    <w:rsid w:val="19466328"/>
    <w:rsid w:val="19570331"/>
    <w:rsid w:val="19595E57"/>
    <w:rsid w:val="198D0432"/>
    <w:rsid w:val="19D3629B"/>
    <w:rsid w:val="19D90123"/>
    <w:rsid w:val="1A1A4310"/>
    <w:rsid w:val="1A317F3F"/>
    <w:rsid w:val="1A4C63EB"/>
    <w:rsid w:val="1A7A7E33"/>
    <w:rsid w:val="1AAF7DBD"/>
    <w:rsid w:val="1AEE0D65"/>
    <w:rsid w:val="1B300E3A"/>
    <w:rsid w:val="1B434EFC"/>
    <w:rsid w:val="1B5A1A98"/>
    <w:rsid w:val="1BBD4A3A"/>
    <w:rsid w:val="1C3A3CB0"/>
    <w:rsid w:val="1C441B74"/>
    <w:rsid w:val="1C6568C1"/>
    <w:rsid w:val="1CBF5FD1"/>
    <w:rsid w:val="1CCE26B8"/>
    <w:rsid w:val="1D721295"/>
    <w:rsid w:val="1D7E660E"/>
    <w:rsid w:val="1D923D53"/>
    <w:rsid w:val="1DF7705C"/>
    <w:rsid w:val="1E7B6A0E"/>
    <w:rsid w:val="1E9811D0"/>
    <w:rsid w:val="1EBA7398"/>
    <w:rsid w:val="1EFA1543"/>
    <w:rsid w:val="1F2962CC"/>
    <w:rsid w:val="1F6115C2"/>
    <w:rsid w:val="1FED4654"/>
    <w:rsid w:val="1FF64400"/>
    <w:rsid w:val="1FF7166B"/>
    <w:rsid w:val="1FFA4EF4"/>
    <w:rsid w:val="1FFC783A"/>
    <w:rsid w:val="200D6CDD"/>
    <w:rsid w:val="200F54C2"/>
    <w:rsid w:val="20156C5F"/>
    <w:rsid w:val="20490CC8"/>
    <w:rsid w:val="20531852"/>
    <w:rsid w:val="205904EB"/>
    <w:rsid w:val="20C04A0E"/>
    <w:rsid w:val="20EE3329"/>
    <w:rsid w:val="21B7196D"/>
    <w:rsid w:val="21C06F5C"/>
    <w:rsid w:val="22280ABD"/>
    <w:rsid w:val="223631D9"/>
    <w:rsid w:val="227C4964"/>
    <w:rsid w:val="22C2080C"/>
    <w:rsid w:val="22C87E24"/>
    <w:rsid w:val="22CF1618"/>
    <w:rsid w:val="22D25337"/>
    <w:rsid w:val="22D6027C"/>
    <w:rsid w:val="22DA2052"/>
    <w:rsid w:val="232219DB"/>
    <w:rsid w:val="23653F9B"/>
    <w:rsid w:val="23DC390D"/>
    <w:rsid w:val="244B3BDC"/>
    <w:rsid w:val="2479115B"/>
    <w:rsid w:val="2545644B"/>
    <w:rsid w:val="2546691D"/>
    <w:rsid w:val="255174BB"/>
    <w:rsid w:val="258A442B"/>
    <w:rsid w:val="25CD4AC1"/>
    <w:rsid w:val="25DC7BF4"/>
    <w:rsid w:val="25F1356D"/>
    <w:rsid w:val="264B378D"/>
    <w:rsid w:val="264F6255"/>
    <w:rsid w:val="265939BE"/>
    <w:rsid w:val="26DC08B6"/>
    <w:rsid w:val="26F130FD"/>
    <w:rsid w:val="271D04C4"/>
    <w:rsid w:val="27231852"/>
    <w:rsid w:val="272730F1"/>
    <w:rsid w:val="272E6CA6"/>
    <w:rsid w:val="27EB5B18"/>
    <w:rsid w:val="280531E0"/>
    <w:rsid w:val="280C22E7"/>
    <w:rsid w:val="28503DF6"/>
    <w:rsid w:val="28602A7B"/>
    <w:rsid w:val="28A6098D"/>
    <w:rsid w:val="28C80903"/>
    <w:rsid w:val="28CD1A76"/>
    <w:rsid w:val="28DE3077"/>
    <w:rsid w:val="29023E15"/>
    <w:rsid w:val="2904718E"/>
    <w:rsid w:val="291B0A33"/>
    <w:rsid w:val="291E0523"/>
    <w:rsid w:val="292545CE"/>
    <w:rsid w:val="297C537E"/>
    <w:rsid w:val="29B9024C"/>
    <w:rsid w:val="2A2045DC"/>
    <w:rsid w:val="2A377AEF"/>
    <w:rsid w:val="2A481CFC"/>
    <w:rsid w:val="2AA52858"/>
    <w:rsid w:val="2AA55094"/>
    <w:rsid w:val="2ADA5DC0"/>
    <w:rsid w:val="2ADD1161"/>
    <w:rsid w:val="2AE6637A"/>
    <w:rsid w:val="2AE6671F"/>
    <w:rsid w:val="2AEE472F"/>
    <w:rsid w:val="2B08765C"/>
    <w:rsid w:val="2B4104F9"/>
    <w:rsid w:val="2B5446D0"/>
    <w:rsid w:val="2B626DED"/>
    <w:rsid w:val="2B681065"/>
    <w:rsid w:val="2BB51143"/>
    <w:rsid w:val="2BBD1843"/>
    <w:rsid w:val="2BD036EC"/>
    <w:rsid w:val="2BFD2672"/>
    <w:rsid w:val="2C1C0D68"/>
    <w:rsid w:val="2C4D184B"/>
    <w:rsid w:val="2C59284C"/>
    <w:rsid w:val="2CC278F0"/>
    <w:rsid w:val="2CC55886"/>
    <w:rsid w:val="2CC66F08"/>
    <w:rsid w:val="2CD107CB"/>
    <w:rsid w:val="2D00425B"/>
    <w:rsid w:val="2D2A56E9"/>
    <w:rsid w:val="2D353E6D"/>
    <w:rsid w:val="2DB12967"/>
    <w:rsid w:val="2DD1025A"/>
    <w:rsid w:val="2DE60540"/>
    <w:rsid w:val="2DF45CF7"/>
    <w:rsid w:val="2E334A71"/>
    <w:rsid w:val="2E3A0D95"/>
    <w:rsid w:val="2E562A8C"/>
    <w:rsid w:val="2E7C6041"/>
    <w:rsid w:val="2F226F15"/>
    <w:rsid w:val="2F2B1BEC"/>
    <w:rsid w:val="2F49566C"/>
    <w:rsid w:val="2F590507"/>
    <w:rsid w:val="2F7E6636"/>
    <w:rsid w:val="2F89506E"/>
    <w:rsid w:val="2F926074"/>
    <w:rsid w:val="2FAA46FC"/>
    <w:rsid w:val="30112B90"/>
    <w:rsid w:val="301E0FAB"/>
    <w:rsid w:val="3067173E"/>
    <w:rsid w:val="30856D70"/>
    <w:rsid w:val="30990C02"/>
    <w:rsid w:val="30E03E9E"/>
    <w:rsid w:val="30FD4EC2"/>
    <w:rsid w:val="315955B5"/>
    <w:rsid w:val="31617003"/>
    <w:rsid w:val="317F3FB2"/>
    <w:rsid w:val="31FA1D47"/>
    <w:rsid w:val="32682ECD"/>
    <w:rsid w:val="327E68E7"/>
    <w:rsid w:val="329A50BF"/>
    <w:rsid w:val="329E552F"/>
    <w:rsid w:val="32CE4D68"/>
    <w:rsid w:val="32E12CEE"/>
    <w:rsid w:val="32E72583"/>
    <w:rsid w:val="3339564B"/>
    <w:rsid w:val="33683B6F"/>
    <w:rsid w:val="33B66B8B"/>
    <w:rsid w:val="33DE3620"/>
    <w:rsid w:val="33FB7DDF"/>
    <w:rsid w:val="34056435"/>
    <w:rsid w:val="34062845"/>
    <w:rsid w:val="34115477"/>
    <w:rsid w:val="345E42DB"/>
    <w:rsid w:val="34B34216"/>
    <w:rsid w:val="34BD32E6"/>
    <w:rsid w:val="34CF42C0"/>
    <w:rsid w:val="34D1675E"/>
    <w:rsid w:val="352549E8"/>
    <w:rsid w:val="35652BBE"/>
    <w:rsid w:val="3575771D"/>
    <w:rsid w:val="35BA5051"/>
    <w:rsid w:val="35CE372C"/>
    <w:rsid w:val="35E10201"/>
    <w:rsid w:val="35E33E2A"/>
    <w:rsid w:val="36393E69"/>
    <w:rsid w:val="365F56FC"/>
    <w:rsid w:val="36806ED0"/>
    <w:rsid w:val="368220F2"/>
    <w:rsid w:val="36AA33F6"/>
    <w:rsid w:val="36BD312A"/>
    <w:rsid w:val="374D5E22"/>
    <w:rsid w:val="37524E82"/>
    <w:rsid w:val="376C4B50"/>
    <w:rsid w:val="378102A7"/>
    <w:rsid w:val="37CA3E2E"/>
    <w:rsid w:val="37E15290"/>
    <w:rsid w:val="37F50500"/>
    <w:rsid w:val="37FE71DA"/>
    <w:rsid w:val="38041CE2"/>
    <w:rsid w:val="38092ADF"/>
    <w:rsid w:val="38431D54"/>
    <w:rsid w:val="38524192"/>
    <w:rsid w:val="3857135C"/>
    <w:rsid w:val="38602906"/>
    <w:rsid w:val="389E6315"/>
    <w:rsid w:val="38AA5930"/>
    <w:rsid w:val="38B352B7"/>
    <w:rsid w:val="38B970EE"/>
    <w:rsid w:val="38C777AD"/>
    <w:rsid w:val="38CA4224"/>
    <w:rsid w:val="39060BB0"/>
    <w:rsid w:val="39763A64"/>
    <w:rsid w:val="39A53678"/>
    <w:rsid w:val="39DC10A9"/>
    <w:rsid w:val="3A045513"/>
    <w:rsid w:val="3A483652"/>
    <w:rsid w:val="3A4A1178"/>
    <w:rsid w:val="3A551F2C"/>
    <w:rsid w:val="3ABB06C2"/>
    <w:rsid w:val="3ABE56C2"/>
    <w:rsid w:val="3AC21656"/>
    <w:rsid w:val="3AD941E6"/>
    <w:rsid w:val="3B304812"/>
    <w:rsid w:val="3B491430"/>
    <w:rsid w:val="3B4C7172"/>
    <w:rsid w:val="3B6224F2"/>
    <w:rsid w:val="3B653D90"/>
    <w:rsid w:val="3B7B6C24"/>
    <w:rsid w:val="3BB36669"/>
    <w:rsid w:val="3BE46CAF"/>
    <w:rsid w:val="3BFFB4A8"/>
    <w:rsid w:val="3C430575"/>
    <w:rsid w:val="3C7626F9"/>
    <w:rsid w:val="3C7E77FF"/>
    <w:rsid w:val="3CC33464"/>
    <w:rsid w:val="3CCA7DB7"/>
    <w:rsid w:val="3D1D47F6"/>
    <w:rsid w:val="3D2C65C2"/>
    <w:rsid w:val="3D2F17FB"/>
    <w:rsid w:val="3D332398"/>
    <w:rsid w:val="3D391C53"/>
    <w:rsid w:val="3D962926"/>
    <w:rsid w:val="3D9A121F"/>
    <w:rsid w:val="3DB05BFD"/>
    <w:rsid w:val="3DC719FA"/>
    <w:rsid w:val="3DD60B8A"/>
    <w:rsid w:val="3DEA21AF"/>
    <w:rsid w:val="3E237F10"/>
    <w:rsid w:val="3E2A02A3"/>
    <w:rsid w:val="3E4F1110"/>
    <w:rsid w:val="3E726EF0"/>
    <w:rsid w:val="3EBA71DD"/>
    <w:rsid w:val="3F025AE3"/>
    <w:rsid w:val="3F0D1723"/>
    <w:rsid w:val="3F6F78D3"/>
    <w:rsid w:val="3F825149"/>
    <w:rsid w:val="3F8F7490"/>
    <w:rsid w:val="3FC075DB"/>
    <w:rsid w:val="3FE9396A"/>
    <w:rsid w:val="40302BBE"/>
    <w:rsid w:val="404A67BF"/>
    <w:rsid w:val="40C675F6"/>
    <w:rsid w:val="40D23941"/>
    <w:rsid w:val="40E90D87"/>
    <w:rsid w:val="41313092"/>
    <w:rsid w:val="414B04B9"/>
    <w:rsid w:val="414F5232"/>
    <w:rsid w:val="417E5BAB"/>
    <w:rsid w:val="41C9151C"/>
    <w:rsid w:val="41CE268F"/>
    <w:rsid w:val="41D91034"/>
    <w:rsid w:val="41DB68B9"/>
    <w:rsid w:val="42522137"/>
    <w:rsid w:val="426203E8"/>
    <w:rsid w:val="426E0E6F"/>
    <w:rsid w:val="42780C38"/>
    <w:rsid w:val="429C278D"/>
    <w:rsid w:val="42B04E6B"/>
    <w:rsid w:val="42CF2B62"/>
    <w:rsid w:val="43395196"/>
    <w:rsid w:val="43520885"/>
    <w:rsid w:val="43893B87"/>
    <w:rsid w:val="43B65AD0"/>
    <w:rsid w:val="443D0E8E"/>
    <w:rsid w:val="448B2A2F"/>
    <w:rsid w:val="448F4B5A"/>
    <w:rsid w:val="44EB44E0"/>
    <w:rsid w:val="45513D03"/>
    <w:rsid w:val="45540B7E"/>
    <w:rsid w:val="4557299B"/>
    <w:rsid w:val="45581B00"/>
    <w:rsid w:val="458B6C49"/>
    <w:rsid w:val="45923B14"/>
    <w:rsid w:val="45B103AB"/>
    <w:rsid w:val="45CD197C"/>
    <w:rsid w:val="46054AED"/>
    <w:rsid w:val="4633637D"/>
    <w:rsid w:val="46684F0D"/>
    <w:rsid w:val="467F21AA"/>
    <w:rsid w:val="46AA2F9F"/>
    <w:rsid w:val="46C329DE"/>
    <w:rsid w:val="46CE04CD"/>
    <w:rsid w:val="470A39C4"/>
    <w:rsid w:val="471731DE"/>
    <w:rsid w:val="475C0986"/>
    <w:rsid w:val="478069FB"/>
    <w:rsid w:val="47965436"/>
    <w:rsid w:val="47975C19"/>
    <w:rsid w:val="47B0208E"/>
    <w:rsid w:val="47EA7AF7"/>
    <w:rsid w:val="48286871"/>
    <w:rsid w:val="48622294"/>
    <w:rsid w:val="486754FB"/>
    <w:rsid w:val="48FF75D2"/>
    <w:rsid w:val="4902607D"/>
    <w:rsid w:val="49325BF9"/>
    <w:rsid w:val="493C19FE"/>
    <w:rsid w:val="495B0D1E"/>
    <w:rsid w:val="495D7971"/>
    <w:rsid w:val="495F3613"/>
    <w:rsid w:val="49882D02"/>
    <w:rsid w:val="499474C8"/>
    <w:rsid w:val="499757C4"/>
    <w:rsid w:val="49A37E7D"/>
    <w:rsid w:val="49DA23A3"/>
    <w:rsid w:val="49F6185C"/>
    <w:rsid w:val="4A0F5443"/>
    <w:rsid w:val="4A5B1180"/>
    <w:rsid w:val="4AA10372"/>
    <w:rsid w:val="4ACB19E7"/>
    <w:rsid w:val="4ADD2B5E"/>
    <w:rsid w:val="4B1C3AC8"/>
    <w:rsid w:val="4B6127C6"/>
    <w:rsid w:val="4B6B14C2"/>
    <w:rsid w:val="4BA777FD"/>
    <w:rsid w:val="4BBA0128"/>
    <w:rsid w:val="4BE50711"/>
    <w:rsid w:val="4C111E55"/>
    <w:rsid w:val="4C265940"/>
    <w:rsid w:val="4C280403"/>
    <w:rsid w:val="4C6625BD"/>
    <w:rsid w:val="4C6E7CC1"/>
    <w:rsid w:val="4C842EF1"/>
    <w:rsid w:val="4C8D1398"/>
    <w:rsid w:val="4CD72DC0"/>
    <w:rsid w:val="4CE03BBE"/>
    <w:rsid w:val="4CFB4554"/>
    <w:rsid w:val="4CFB682B"/>
    <w:rsid w:val="4D2F41FE"/>
    <w:rsid w:val="4D5C1497"/>
    <w:rsid w:val="4D720CBA"/>
    <w:rsid w:val="4DB766CD"/>
    <w:rsid w:val="4DCA7953"/>
    <w:rsid w:val="4DCD379F"/>
    <w:rsid w:val="4DE4323A"/>
    <w:rsid w:val="4DF55447"/>
    <w:rsid w:val="4E1872D6"/>
    <w:rsid w:val="4E4D6647"/>
    <w:rsid w:val="4E683E6B"/>
    <w:rsid w:val="4E6D1482"/>
    <w:rsid w:val="4E7C3473"/>
    <w:rsid w:val="4EC11793"/>
    <w:rsid w:val="4ECC0108"/>
    <w:rsid w:val="4ED137BE"/>
    <w:rsid w:val="4ED70063"/>
    <w:rsid w:val="4F091ADF"/>
    <w:rsid w:val="4F2434A7"/>
    <w:rsid w:val="4F4E3061"/>
    <w:rsid w:val="4F674123"/>
    <w:rsid w:val="4F736942"/>
    <w:rsid w:val="4F85253D"/>
    <w:rsid w:val="4F90367A"/>
    <w:rsid w:val="4FA42C81"/>
    <w:rsid w:val="4FAE46C5"/>
    <w:rsid w:val="4FB81748"/>
    <w:rsid w:val="500330E2"/>
    <w:rsid w:val="503611AF"/>
    <w:rsid w:val="50554500"/>
    <w:rsid w:val="506D39BB"/>
    <w:rsid w:val="506F7733"/>
    <w:rsid w:val="507C307E"/>
    <w:rsid w:val="50917BC9"/>
    <w:rsid w:val="50CA2BBB"/>
    <w:rsid w:val="513726D4"/>
    <w:rsid w:val="514800F6"/>
    <w:rsid w:val="51553235"/>
    <w:rsid w:val="517307DB"/>
    <w:rsid w:val="51C621D0"/>
    <w:rsid w:val="51D84A8C"/>
    <w:rsid w:val="51DE4490"/>
    <w:rsid w:val="51F77DBB"/>
    <w:rsid w:val="51FB0B52"/>
    <w:rsid w:val="52091AC0"/>
    <w:rsid w:val="520E7BB8"/>
    <w:rsid w:val="52457019"/>
    <w:rsid w:val="52483D98"/>
    <w:rsid w:val="524A7410"/>
    <w:rsid w:val="527F7007"/>
    <w:rsid w:val="528F5E6A"/>
    <w:rsid w:val="52C70417"/>
    <w:rsid w:val="52D23FA9"/>
    <w:rsid w:val="52DE64AA"/>
    <w:rsid w:val="52E53CDC"/>
    <w:rsid w:val="52F73380"/>
    <w:rsid w:val="53484D3D"/>
    <w:rsid w:val="53917463"/>
    <w:rsid w:val="53E90BD9"/>
    <w:rsid w:val="543071D9"/>
    <w:rsid w:val="54574CB2"/>
    <w:rsid w:val="54927D67"/>
    <w:rsid w:val="54BA2BA5"/>
    <w:rsid w:val="54CA3EE3"/>
    <w:rsid w:val="54EE7608"/>
    <w:rsid w:val="552F56E3"/>
    <w:rsid w:val="5547643D"/>
    <w:rsid w:val="5560589C"/>
    <w:rsid w:val="55DB22BD"/>
    <w:rsid w:val="55FB4D53"/>
    <w:rsid w:val="560777A7"/>
    <w:rsid w:val="56336B0D"/>
    <w:rsid w:val="56446F6C"/>
    <w:rsid w:val="570B1D7A"/>
    <w:rsid w:val="570C49D3"/>
    <w:rsid w:val="57482A8C"/>
    <w:rsid w:val="577B69BD"/>
    <w:rsid w:val="57C52C1B"/>
    <w:rsid w:val="580B280B"/>
    <w:rsid w:val="580E5DE1"/>
    <w:rsid w:val="583F12E8"/>
    <w:rsid w:val="58546C75"/>
    <w:rsid w:val="585845FD"/>
    <w:rsid w:val="5898534D"/>
    <w:rsid w:val="592B7F6F"/>
    <w:rsid w:val="59301CA1"/>
    <w:rsid w:val="597973CB"/>
    <w:rsid w:val="59872597"/>
    <w:rsid w:val="598A4D9D"/>
    <w:rsid w:val="59A01AD8"/>
    <w:rsid w:val="59B13A24"/>
    <w:rsid w:val="59B44408"/>
    <w:rsid w:val="59C24CD2"/>
    <w:rsid w:val="59EA108A"/>
    <w:rsid w:val="5A201A9E"/>
    <w:rsid w:val="5A28750E"/>
    <w:rsid w:val="5A3069AE"/>
    <w:rsid w:val="5A6C75D8"/>
    <w:rsid w:val="5A6E3F29"/>
    <w:rsid w:val="5A8D62E0"/>
    <w:rsid w:val="5A9213C1"/>
    <w:rsid w:val="5A9A1339"/>
    <w:rsid w:val="5AC42429"/>
    <w:rsid w:val="5ACA5BFB"/>
    <w:rsid w:val="5ACB7C5C"/>
    <w:rsid w:val="5ADC5E02"/>
    <w:rsid w:val="5B060C94"/>
    <w:rsid w:val="5B292F39"/>
    <w:rsid w:val="5B3E4808"/>
    <w:rsid w:val="5B5D71C6"/>
    <w:rsid w:val="5BBA54B7"/>
    <w:rsid w:val="5BCA042D"/>
    <w:rsid w:val="5C09172F"/>
    <w:rsid w:val="5C212AC4"/>
    <w:rsid w:val="5C623221"/>
    <w:rsid w:val="5C6D5E25"/>
    <w:rsid w:val="5C6E0D96"/>
    <w:rsid w:val="5CB14C2F"/>
    <w:rsid w:val="5CB55563"/>
    <w:rsid w:val="5CB564CD"/>
    <w:rsid w:val="5CB87AD5"/>
    <w:rsid w:val="5CBF734C"/>
    <w:rsid w:val="5CC90EA5"/>
    <w:rsid w:val="5CD01559"/>
    <w:rsid w:val="5CEC6A76"/>
    <w:rsid w:val="5D702E47"/>
    <w:rsid w:val="5D7A19A4"/>
    <w:rsid w:val="5D9673CA"/>
    <w:rsid w:val="5DA27282"/>
    <w:rsid w:val="5DAA286D"/>
    <w:rsid w:val="5DD83A3B"/>
    <w:rsid w:val="5E082F75"/>
    <w:rsid w:val="5E0B0806"/>
    <w:rsid w:val="5E1831B8"/>
    <w:rsid w:val="5EA83642"/>
    <w:rsid w:val="5ECD5E3F"/>
    <w:rsid w:val="5F11197E"/>
    <w:rsid w:val="5F2931A3"/>
    <w:rsid w:val="5F465B03"/>
    <w:rsid w:val="5F720C17"/>
    <w:rsid w:val="5F751F44"/>
    <w:rsid w:val="5F8959EF"/>
    <w:rsid w:val="5F8D1984"/>
    <w:rsid w:val="5F921A64"/>
    <w:rsid w:val="5FD56E87"/>
    <w:rsid w:val="605D1356"/>
    <w:rsid w:val="606621AD"/>
    <w:rsid w:val="606E307F"/>
    <w:rsid w:val="60992A7B"/>
    <w:rsid w:val="60F130D6"/>
    <w:rsid w:val="61001CE1"/>
    <w:rsid w:val="61402F4B"/>
    <w:rsid w:val="616B48FA"/>
    <w:rsid w:val="61722BDF"/>
    <w:rsid w:val="61887B6F"/>
    <w:rsid w:val="61903065"/>
    <w:rsid w:val="61C41276"/>
    <w:rsid w:val="61CB6793"/>
    <w:rsid w:val="61D733EB"/>
    <w:rsid w:val="61F21F72"/>
    <w:rsid w:val="61F90662"/>
    <w:rsid w:val="622A34BA"/>
    <w:rsid w:val="622B7232"/>
    <w:rsid w:val="62436329"/>
    <w:rsid w:val="62531146"/>
    <w:rsid w:val="625E4BF0"/>
    <w:rsid w:val="62637749"/>
    <w:rsid w:val="62972AA9"/>
    <w:rsid w:val="62AB0590"/>
    <w:rsid w:val="62B46317"/>
    <w:rsid w:val="62BE1AAD"/>
    <w:rsid w:val="62CC7272"/>
    <w:rsid w:val="62CD5F43"/>
    <w:rsid w:val="62DF3BFD"/>
    <w:rsid w:val="62EB0C26"/>
    <w:rsid w:val="62EC717B"/>
    <w:rsid w:val="62EE44E7"/>
    <w:rsid w:val="6315416A"/>
    <w:rsid w:val="63693FB5"/>
    <w:rsid w:val="63843916"/>
    <w:rsid w:val="638B3F68"/>
    <w:rsid w:val="63A4729C"/>
    <w:rsid w:val="63A92B04"/>
    <w:rsid w:val="63C177B7"/>
    <w:rsid w:val="63CA3F44"/>
    <w:rsid w:val="63D74F7B"/>
    <w:rsid w:val="63DB5433"/>
    <w:rsid w:val="63E1404C"/>
    <w:rsid w:val="63E853DA"/>
    <w:rsid w:val="63F40956"/>
    <w:rsid w:val="640146EE"/>
    <w:rsid w:val="64322AF9"/>
    <w:rsid w:val="64906511"/>
    <w:rsid w:val="64CF659A"/>
    <w:rsid w:val="64E536A9"/>
    <w:rsid w:val="652C579B"/>
    <w:rsid w:val="655B743A"/>
    <w:rsid w:val="65CB6948"/>
    <w:rsid w:val="65D65ED9"/>
    <w:rsid w:val="65F57AF4"/>
    <w:rsid w:val="660758C0"/>
    <w:rsid w:val="66346D11"/>
    <w:rsid w:val="668A0888"/>
    <w:rsid w:val="669058B5"/>
    <w:rsid w:val="66E10BAA"/>
    <w:rsid w:val="66E77BCB"/>
    <w:rsid w:val="66F36DE8"/>
    <w:rsid w:val="670A3C49"/>
    <w:rsid w:val="67230398"/>
    <w:rsid w:val="67321449"/>
    <w:rsid w:val="673E5311"/>
    <w:rsid w:val="675608AD"/>
    <w:rsid w:val="675F4434"/>
    <w:rsid w:val="67890C82"/>
    <w:rsid w:val="679300D1"/>
    <w:rsid w:val="67AB5BCD"/>
    <w:rsid w:val="67C577E1"/>
    <w:rsid w:val="67CC5234"/>
    <w:rsid w:val="67EE4F89"/>
    <w:rsid w:val="67F83A5D"/>
    <w:rsid w:val="682D23BE"/>
    <w:rsid w:val="68601F07"/>
    <w:rsid w:val="68E66023"/>
    <w:rsid w:val="696C2247"/>
    <w:rsid w:val="696D1151"/>
    <w:rsid w:val="69A04061"/>
    <w:rsid w:val="69BE2739"/>
    <w:rsid w:val="69D0409C"/>
    <w:rsid w:val="69D16A21"/>
    <w:rsid w:val="69EA2D2C"/>
    <w:rsid w:val="6A471613"/>
    <w:rsid w:val="6A47354C"/>
    <w:rsid w:val="6ACB062F"/>
    <w:rsid w:val="6B3339D4"/>
    <w:rsid w:val="6B427AC6"/>
    <w:rsid w:val="6B715CB5"/>
    <w:rsid w:val="6BE84665"/>
    <w:rsid w:val="6BE96194"/>
    <w:rsid w:val="6C0A6286"/>
    <w:rsid w:val="6C0B435C"/>
    <w:rsid w:val="6C18145C"/>
    <w:rsid w:val="6C4B57CE"/>
    <w:rsid w:val="6C506213"/>
    <w:rsid w:val="6C7F08A6"/>
    <w:rsid w:val="6C923EF4"/>
    <w:rsid w:val="6C9F4AA4"/>
    <w:rsid w:val="6CB82088"/>
    <w:rsid w:val="6CD5161D"/>
    <w:rsid w:val="6CEF589A"/>
    <w:rsid w:val="6D5B6C1D"/>
    <w:rsid w:val="6D5C594B"/>
    <w:rsid w:val="6D883722"/>
    <w:rsid w:val="6D987690"/>
    <w:rsid w:val="6DC44726"/>
    <w:rsid w:val="6DDB4F06"/>
    <w:rsid w:val="6E2C3678"/>
    <w:rsid w:val="6E2D0676"/>
    <w:rsid w:val="6E5A24C3"/>
    <w:rsid w:val="6E707DEC"/>
    <w:rsid w:val="6E795943"/>
    <w:rsid w:val="6EB0002F"/>
    <w:rsid w:val="6EBF7B30"/>
    <w:rsid w:val="6EDB2C83"/>
    <w:rsid w:val="6EF56BFD"/>
    <w:rsid w:val="6EFA4AE8"/>
    <w:rsid w:val="6F424D82"/>
    <w:rsid w:val="6F6B6EC0"/>
    <w:rsid w:val="6F7FFDDF"/>
    <w:rsid w:val="6F855721"/>
    <w:rsid w:val="6F8C20DB"/>
    <w:rsid w:val="6FBFEFB8"/>
    <w:rsid w:val="6FE27C5C"/>
    <w:rsid w:val="6FEB292F"/>
    <w:rsid w:val="70223A22"/>
    <w:rsid w:val="70342049"/>
    <w:rsid w:val="70BC5C25"/>
    <w:rsid w:val="70CE6E08"/>
    <w:rsid w:val="70D56CE6"/>
    <w:rsid w:val="71022C4D"/>
    <w:rsid w:val="711133F5"/>
    <w:rsid w:val="714E7ADF"/>
    <w:rsid w:val="71B82967"/>
    <w:rsid w:val="71C21AAD"/>
    <w:rsid w:val="71DE5F6E"/>
    <w:rsid w:val="72125809"/>
    <w:rsid w:val="72127AC6"/>
    <w:rsid w:val="7263496C"/>
    <w:rsid w:val="72921544"/>
    <w:rsid w:val="7294482A"/>
    <w:rsid w:val="72A5426E"/>
    <w:rsid w:val="72CB03A1"/>
    <w:rsid w:val="730B69EF"/>
    <w:rsid w:val="73261A7B"/>
    <w:rsid w:val="7358775B"/>
    <w:rsid w:val="738265F9"/>
    <w:rsid w:val="73951A07"/>
    <w:rsid w:val="73981A6A"/>
    <w:rsid w:val="73B646AF"/>
    <w:rsid w:val="73F05BE5"/>
    <w:rsid w:val="74600FBD"/>
    <w:rsid w:val="749F7E04"/>
    <w:rsid w:val="74A52E74"/>
    <w:rsid w:val="74B12730"/>
    <w:rsid w:val="74F2005A"/>
    <w:rsid w:val="74F811F5"/>
    <w:rsid w:val="74FD5413"/>
    <w:rsid w:val="750423A2"/>
    <w:rsid w:val="75077AC7"/>
    <w:rsid w:val="75276097"/>
    <w:rsid w:val="7534125F"/>
    <w:rsid w:val="75355FA6"/>
    <w:rsid w:val="75502DDF"/>
    <w:rsid w:val="756A76E1"/>
    <w:rsid w:val="756B5E6B"/>
    <w:rsid w:val="75761A0A"/>
    <w:rsid w:val="758657BF"/>
    <w:rsid w:val="75AD6686"/>
    <w:rsid w:val="75B07D22"/>
    <w:rsid w:val="75C15A8B"/>
    <w:rsid w:val="76034C0C"/>
    <w:rsid w:val="764010A6"/>
    <w:rsid w:val="767825EE"/>
    <w:rsid w:val="767A67D7"/>
    <w:rsid w:val="768E2FF9"/>
    <w:rsid w:val="76A0709B"/>
    <w:rsid w:val="76DE0A4B"/>
    <w:rsid w:val="76EE0B02"/>
    <w:rsid w:val="774109EB"/>
    <w:rsid w:val="774E7F14"/>
    <w:rsid w:val="776E579F"/>
    <w:rsid w:val="77AE0291"/>
    <w:rsid w:val="77F35CA4"/>
    <w:rsid w:val="782411ED"/>
    <w:rsid w:val="787918A4"/>
    <w:rsid w:val="78C75829"/>
    <w:rsid w:val="78DD2BDC"/>
    <w:rsid w:val="795F4A74"/>
    <w:rsid w:val="79725628"/>
    <w:rsid w:val="797962B0"/>
    <w:rsid w:val="79A4194C"/>
    <w:rsid w:val="79EF706B"/>
    <w:rsid w:val="7A592736"/>
    <w:rsid w:val="7A5F5873"/>
    <w:rsid w:val="7A612B65"/>
    <w:rsid w:val="7A7E219D"/>
    <w:rsid w:val="7A7F6A40"/>
    <w:rsid w:val="7A834A69"/>
    <w:rsid w:val="7AAC706F"/>
    <w:rsid w:val="7AB3442F"/>
    <w:rsid w:val="7B250F7C"/>
    <w:rsid w:val="7B3C3840"/>
    <w:rsid w:val="7B5829EE"/>
    <w:rsid w:val="7B615D46"/>
    <w:rsid w:val="7B7A38F5"/>
    <w:rsid w:val="7BB37C24"/>
    <w:rsid w:val="7BBC2F7D"/>
    <w:rsid w:val="7C067DBD"/>
    <w:rsid w:val="7C1E6D91"/>
    <w:rsid w:val="7C240B22"/>
    <w:rsid w:val="7C2D79D7"/>
    <w:rsid w:val="7C4142E6"/>
    <w:rsid w:val="7C727ADF"/>
    <w:rsid w:val="7C8C617B"/>
    <w:rsid w:val="7CA70F77"/>
    <w:rsid w:val="7CB6415D"/>
    <w:rsid w:val="7CE6588B"/>
    <w:rsid w:val="7D172435"/>
    <w:rsid w:val="7D1C18C9"/>
    <w:rsid w:val="7D396C7E"/>
    <w:rsid w:val="7D5316BF"/>
    <w:rsid w:val="7D67516A"/>
    <w:rsid w:val="7D8775BA"/>
    <w:rsid w:val="7D906EA9"/>
    <w:rsid w:val="7D99109C"/>
    <w:rsid w:val="7DB50CD9"/>
    <w:rsid w:val="7DBA34EC"/>
    <w:rsid w:val="7DBF4FA6"/>
    <w:rsid w:val="7DD65475"/>
    <w:rsid w:val="7E0735AB"/>
    <w:rsid w:val="7E551467"/>
    <w:rsid w:val="7E880A7E"/>
    <w:rsid w:val="7EA06B86"/>
    <w:rsid w:val="7EBB2427"/>
    <w:rsid w:val="7EE10F4C"/>
    <w:rsid w:val="7EFE1AFE"/>
    <w:rsid w:val="7F5771DB"/>
    <w:rsid w:val="7F710522"/>
    <w:rsid w:val="7F927F08"/>
    <w:rsid w:val="7FB838CF"/>
    <w:rsid w:val="7FD3298A"/>
    <w:rsid w:val="7FFC7013"/>
    <w:rsid w:val="D7BD61DA"/>
    <w:rsid w:val="DF7B52F4"/>
    <w:rsid w:val="ECDD647D"/>
    <w:rsid w:val="FADF6BA9"/>
    <w:rsid w:val="FDF7570D"/>
    <w:rsid w:val="FFACE3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55"/>
    <w:qFormat/>
    <w:uiPriority w:val="0"/>
    <w:pPr>
      <w:keepNext/>
      <w:keepLines/>
      <w:ind w:firstLine="0" w:firstLineChars="0"/>
      <w:outlineLvl w:val="0"/>
    </w:pPr>
    <w:rPr>
      <w:rFonts w:eastAsia="黑体"/>
      <w:b/>
      <w:bCs/>
      <w:kern w:val="44"/>
      <w:szCs w:val="21"/>
    </w:rPr>
  </w:style>
  <w:style w:type="paragraph" w:styleId="3">
    <w:name w:val="heading 2"/>
    <w:basedOn w:val="1"/>
    <w:next w:val="1"/>
    <w:qFormat/>
    <w:uiPriority w:val="0"/>
    <w:pPr>
      <w:keepNext/>
      <w:keepLines/>
      <w:outlineLvl w:val="1"/>
    </w:pPr>
    <w:rPr>
      <w:rFonts w:ascii="宋体" w:hAnsi="宋体" w:eastAsia="楷体"/>
      <w:b/>
      <w:bCs/>
      <w:szCs w:val="21"/>
    </w:rPr>
  </w:style>
  <w:style w:type="paragraph" w:styleId="4">
    <w:name w:val="heading 3"/>
    <w:basedOn w:val="1"/>
    <w:next w:val="1"/>
    <w:link w:val="48"/>
    <w:qFormat/>
    <w:uiPriority w:val="0"/>
    <w:pPr>
      <w:keepNext/>
      <w:keepLines/>
      <w:outlineLvl w:val="2"/>
    </w:pPr>
    <w:rPr>
      <w:b/>
      <w:bCs/>
      <w:szCs w:val="32"/>
    </w:rPr>
  </w:style>
  <w:style w:type="paragraph" w:styleId="5">
    <w:name w:val="heading 4"/>
    <w:basedOn w:val="4"/>
    <w:next w:val="1"/>
    <w:qFormat/>
    <w:uiPriority w:val="0"/>
    <w:pPr>
      <w:numPr>
        <w:ilvl w:val="0"/>
        <w:numId w:val="1"/>
      </w:numPr>
      <w:tabs>
        <w:tab w:val="left" w:pos="1080"/>
      </w:tabs>
      <w:ind w:left="299" w:leftChars="299" w:firstLine="0"/>
      <w:outlineLvl w:val="3"/>
    </w:pPr>
  </w:style>
  <w:style w:type="paragraph" w:styleId="6">
    <w:name w:val="heading 5"/>
    <w:basedOn w:val="5"/>
    <w:next w:val="1"/>
    <w:qFormat/>
    <w:uiPriority w:val="0"/>
    <w:pPr>
      <w:numPr>
        <w:numId w:val="0"/>
      </w:numPr>
      <w:tabs>
        <w:tab w:val="left" w:pos="1440"/>
        <w:tab w:val="left" w:pos="1620"/>
        <w:tab w:val="left" w:pos="1980"/>
      </w:tabs>
      <w:ind w:left="538" w:leftChars="299" w:hanging="2031"/>
      <w:outlineLvl w:val="4"/>
    </w:pPr>
  </w:style>
  <w:style w:type="paragraph" w:styleId="7">
    <w:name w:val="heading 6"/>
    <w:basedOn w:val="6"/>
    <w:next w:val="1"/>
    <w:qFormat/>
    <w:uiPriority w:val="0"/>
    <w:pPr>
      <w:numPr>
        <w:ilvl w:val="5"/>
      </w:numPr>
      <w:tabs>
        <w:tab w:val="left" w:pos="1260"/>
        <w:tab w:val="left" w:pos="1800"/>
        <w:tab w:val="clear" w:pos="1440"/>
        <w:tab w:val="clear" w:pos="1980"/>
      </w:tabs>
      <w:ind w:left="538" w:leftChars="299" w:hanging="2560"/>
      <w:outlineLvl w:val="5"/>
    </w:p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39"/>
    <w:pPr>
      <w:ind w:left="1920"/>
      <w:jc w:val="left"/>
    </w:pPr>
    <w:rPr>
      <w:rFonts w:asciiTheme="minorHAnsi" w:hAnsiTheme="minorHAnsi" w:cstheme="minorHAnsi"/>
      <w:sz w:val="18"/>
      <w:szCs w:val="18"/>
    </w:rPr>
  </w:style>
  <w:style w:type="paragraph" w:styleId="9">
    <w:name w:val="caption"/>
    <w:basedOn w:val="1"/>
    <w:next w:val="1"/>
    <w:qFormat/>
    <w:uiPriority w:val="99"/>
    <w:pPr>
      <w:spacing w:line="240" w:lineRule="auto"/>
    </w:pPr>
    <w:rPr>
      <w:rFonts w:ascii="Cambria" w:hAnsi="Cambria" w:eastAsia="黑体"/>
      <w:sz w:val="20"/>
      <w:szCs w:val="20"/>
    </w:rPr>
  </w:style>
  <w:style w:type="paragraph" w:styleId="10">
    <w:name w:val="Document Map"/>
    <w:basedOn w:val="1"/>
    <w:semiHidden/>
    <w:qFormat/>
    <w:uiPriority w:val="0"/>
    <w:pPr>
      <w:shd w:val="clear" w:color="auto" w:fill="000080"/>
    </w:pPr>
  </w:style>
  <w:style w:type="paragraph" w:styleId="11">
    <w:name w:val="annotation text"/>
    <w:basedOn w:val="1"/>
    <w:link w:val="41"/>
    <w:qFormat/>
    <w:uiPriority w:val="0"/>
    <w:pPr>
      <w:jc w:val="left"/>
    </w:pPr>
    <w:rPr>
      <w:rFonts w:eastAsia="宋体"/>
    </w:rPr>
  </w:style>
  <w:style w:type="paragraph" w:styleId="12">
    <w:name w:val="toc 5"/>
    <w:basedOn w:val="1"/>
    <w:next w:val="1"/>
    <w:qFormat/>
    <w:uiPriority w:val="39"/>
    <w:pPr>
      <w:ind w:left="1280"/>
      <w:jc w:val="left"/>
    </w:pPr>
    <w:rPr>
      <w:rFonts w:asciiTheme="minorHAnsi" w:hAnsiTheme="minorHAnsi" w:cstheme="minorHAnsi"/>
      <w:sz w:val="18"/>
      <w:szCs w:val="18"/>
    </w:rPr>
  </w:style>
  <w:style w:type="paragraph" w:styleId="13">
    <w:name w:val="toc 3"/>
    <w:basedOn w:val="1"/>
    <w:next w:val="1"/>
    <w:qFormat/>
    <w:uiPriority w:val="39"/>
    <w:pPr>
      <w:ind w:left="640"/>
      <w:jc w:val="left"/>
    </w:pPr>
    <w:rPr>
      <w:rFonts w:asciiTheme="minorHAnsi" w:hAnsiTheme="minorHAnsi" w:cstheme="minorHAnsi"/>
      <w:i/>
      <w:iCs/>
      <w:sz w:val="20"/>
      <w:szCs w:val="20"/>
    </w:rPr>
  </w:style>
  <w:style w:type="paragraph" w:styleId="14">
    <w:name w:val="Plain Text"/>
    <w:basedOn w:val="1"/>
    <w:link w:val="40"/>
    <w:qFormat/>
    <w:uiPriority w:val="0"/>
    <w:pPr>
      <w:spacing w:line="240" w:lineRule="auto"/>
      <w:ind w:firstLine="0" w:firstLineChars="0"/>
    </w:pPr>
    <w:rPr>
      <w:rFonts w:ascii="宋体" w:hAnsi="Courier New" w:eastAsia="宋体"/>
      <w:sz w:val="21"/>
      <w:szCs w:val="21"/>
    </w:rPr>
  </w:style>
  <w:style w:type="paragraph" w:styleId="15">
    <w:name w:val="toc 8"/>
    <w:basedOn w:val="1"/>
    <w:next w:val="1"/>
    <w:qFormat/>
    <w:uiPriority w:val="39"/>
    <w:pPr>
      <w:ind w:left="2240"/>
      <w:jc w:val="left"/>
    </w:pPr>
    <w:rPr>
      <w:rFonts w:asciiTheme="minorHAnsi" w:hAnsiTheme="minorHAnsi" w:cstheme="minorHAnsi"/>
      <w:sz w:val="18"/>
      <w:szCs w:val="18"/>
    </w:rPr>
  </w:style>
  <w:style w:type="paragraph" w:styleId="16">
    <w:name w:val="Date"/>
    <w:basedOn w:val="1"/>
    <w:next w:val="1"/>
    <w:link w:val="49"/>
    <w:qFormat/>
    <w:uiPriority w:val="0"/>
    <w:pPr>
      <w:ind w:left="100" w:leftChars="2500"/>
    </w:pPr>
    <w:rPr>
      <w:rFonts w:eastAsia="宋体"/>
      <w:sz w:val="18"/>
    </w:rPr>
  </w:style>
  <w:style w:type="paragraph" w:styleId="17">
    <w:name w:val="endnote text"/>
    <w:basedOn w:val="1"/>
    <w:link w:val="47"/>
    <w:qFormat/>
    <w:uiPriority w:val="0"/>
    <w:pPr>
      <w:snapToGrid w:val="0"/>
      <w:jc w:val="left"/>
    </w:pPr>
    <w:rPr>
      <w:rFonts w:eastAsia="宋体"/>
      <w:sz w:val="18"/>
    </w:rPr>
  </w:style>
  <w:style w:type="paragraph" w:styleId="18">
    <w:name w:val="Balloon Text"/>
    <w:basedOn w:val="1"/>
    <w:link w:val="46"/>
    <w:qFormat/>
    <w:uiPriority w:val="0"/>
    <w:rPr>
      <w:rFonts w:eastAsia="宋体"/>
      <w:sz w:val="18"/>
      <w:szCs w:val="18"/>
    </w:rPr>
  </w:style>
  <w:style w:type="paragraph" w:styleId="19">
    <w:name w:val="footer"/>
    <w:basedOn w:val="1"/>
    <w:link w:val="50"/>
    <w:qFormat/>
    <w:uiPriority w:val="99"/>
    <w:pPr>
      <w:tabs>
        <w:tab w:val="center" w:pos="4153"/>
        <w:tab w:val="right" w:pos="8306"/>
      </w:tabs>
      <w:snapToGrid w:val="0"/>
      <w:jc w:val="left"/>
    </w:pPr>
    <w:rPr>
      <w:rFonts w:eastAsia="宋体"/>
      <w:sz w:val="18"/>
      <w:szCs w:val="18"/>
    </w:rPr>
  </w:style>
  <w:style w:type="paragraph" w:styleId="20">
    <w:name w:val="header"/>
    <w:basedOn w:val="1"/>
    <w:link w:val="45"/>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21">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22">
    <w:name w:val="toc 4"/>
    <w:basedOn w:val="1"/>
    <w:next w:val="1"/>
    <w:qFormat/>
    <w:uiPriority w:val="39"/>
    <w:pPr>
      <w:ind w:left="960"/>
      <w:jc w:val="left"/>
    </w:pPr>
    <w:rPr>
      <w:rFonts w:asciiTheme="minorHAnsi" w:hAnsiTheme="minorHAnsi" w:cstheme="minorHAnsi"/>
      <w:sz w:val="18"/>
      <w:szCs w:val="18"/>
    </w:rPr>
  </w:style>
  <w:style w:type="paragraph" w:styleId="23">
    <w:name w:val="footnote text"/>
    <w:basedOn w:val="1"/>
    <w:link w:val="42"/>
    <w:qFormat/>
    <w:uiPriority w:val="0"/>
    <w:pPr>
      <w:snapToGrid w:val="0"/>
      <w:jc w:val="left"/>
    </w:pPr>
    <w:rPr>
      <w:rFonts w:eastAsia="宋体"/>
      <w:sz w:val="18"/>
      <w:szCs w:val="18"/>
    </w:rPr>
  </w:style>
  <w:style w:type="paragraph" w:styleId="24">
    <w:name w:val="toc 6"/>
    <w:basedOn w:val="1"/>
    <w:next w:val="1"/>
    <w:qFormat/>
    <w:uiPriority w:val="39"/>
    <w:pPr>
      <w:ind w:left="1600"/>
      <w:jc w:val="left"/>
    </w:pPr>
    <w:rPr>
      <w:rFonts w:asciiTheme="minorHAnsi" w:hAnsiTheme="minorHAnsi" w:cstheme="minorHAnsi"/>
      <w:sz w:val="18"/>
      <w:szCs w:val="18"/>
    </w:rPr>
  </w:style>
  <w:style w:type="paragraph" w:styleId="25">
    <w:name w:val="table of figures"/>
    <w:basedOn w:val="1"/>
    <w:next w:val="1"/>
    <w:qFormat/>
    <w:uiPriority w:val="99"/>
    <w:pPr>
      <w:ind w:left="640" w:hanging="640"/>
      <w:jc w:val="left"/>
    </w:pPr>
    <w:rPr>
      <w:rFonts w:ascii="Calibri" w:hAnsi="Calibri" w:cs="Calibri"/>
      <w:smallCaps/>
      <w:sz w:val="20"/>
      <w:szCs w:val="20"/>
    </w:rPr>
  </w:style>
  <w:style w:type="paragraph" w:styleId="26">
    <w:name w:val="toc 2"/>
    <w:basedOn w:val="1"/>
    <w:next w:val="1"/>
    <w:qFormat/>
    <w:uiPriority w:val="39"/>
    <w:pPr>
      <w:ind w:left="320"/>
      <w:jc w:val="left"/>
    </w:pPr>
    <w:rPr>
      <w:rFonts w:asciiTheme="minorHAnsi" w:hAnsiTheme="minorHAnsi" w:cstheme="minorHAnsi"/>
      <w:smallCaps/>
      <w:sz w:val="20"/>
      <w:szCs w:val="20"/>
    </w:rPr>
  </w:style>
  <w:style w:type="paragraph" w:styleId="27">
    <w:name w:val="toc 9"/>
    <w:basedOn w:val="1"/>
    <w:next w:val="1"/>
    <w:qFormat/>
    <w:uiPriority w:val="39"/>
    <w:pPr>
      <w:ind w:left="2560"/>
      <w:jc w:val="left"/>
    </w:pPr>
    <w:rPr>
      <w:rFonts w:asciiTheme="minorHAnsi" w:hAnsiTheme="minorHAnsi" w:cstheme="minorHAnsi"/>
      <w:sz w:val="18"/>
      <w:szCs w:val="18"/>
    </w:rPr>
  </w:style>
  <w:style w:type="paragraph" w:styleId="28">
    <w:name w:val="Title"/>
    <w:basedOn w:val="1"/>
    <w:next w:val="1"/>
    <w:link w:val="54"/>
    <w:qFormat/>
    <w:uiPriority w:val="0"/>
    <w:pPr>
      <w:jc w:val="center"/>
      <w:outlineLvl w:val="0"/>
    </w:pPr>
    <w:rPr>
      <w:rFonts w:eastAsia="宋体" w:asciiTheme="majorHAnsi" w:hAnsiTheme="majorHAnsi" w:cstheme="majorBidi"/>
      <w:b/>
      <w:bCs/>
      <w:sz w:val="44"/>
      <w:szCs w:val="32"/>
    </w:rPr>
  </w:style>
  <w:style w:type="paragraph" w:styleId="29">
    <w:name w:val="annotation subject"/>
    <w:basedOn w:val="11"/>
    <w:next w:val="11"/>
    <w:link w:val="43"/>
    <w:qFormat/>
    <w:uiPriority w:val="0"/>
    <w:rPr>
      <w:b/>
      <w:bCs/>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endnote reference"/>
    <w:qFormat/>
    <w:uiPriority w:val="0"/>
    <w:rPr>
      <w:vertAlign w:val="superscript"/>
    </w:rPr>
  </w:style>
  <w:style w:type="character" w:styleId="35">
    <w:name w:val="FollowedHyperlink"/>
    <w:qFormat/>
    <w:uiPriority w:val="0"/>
    <w:rPr>
      <w:color w:val="800080"/>
      <w:u w:val="single"/>
    </w:rPr>
  </w:style>
  <w:style w:type="character" w:styleId="36">
    <w:name w:val="Emphasis"/>
    <w:basedOn w:val="32"/>
    <w:qFormat/>
    <w:uiPriority w:val="20"/>
    <w:rPr>
      <w:i/>
      <w:iCs/>
    </w:rPr>
  </w:style>
  <w:style w:type="character" w:styleId="37">
    <w:name w:val="Hyperlink"/>
    <w:qFormat/>
    <w:uiPriority w:val="99"/>
    <w:rPr>
      <w:color w:val="0000FF"/>
      <w:u w:val="single"/>
    </w:rPr>
  </w:style>
  <w:style w:type="character" w:styleId="38">
    <w:name w:val="annotation reference"/>
    <w:qFormat/>
    <w:uiPriority w:val="0"/>
    <w:rPr>
      <w:sz w:val="21"/>
      <w:szCs w:val="21"/>
    </w:rPr>
  </w:style>
  <w:style w:type="character" w:styleId="39">
    <w:name w:val="footnote reference"/>
    <w:qFormat/>
    <w:uiPriority w:val="0"/>
    <w:rPr>
      <w:vertAlign w:val="superscript"/>
    </w:rPr>
  </w:style>
  <w:style w:type="character" w:customStyle="1" w:styleId="40">
    <w:name w:val="纯文本 字符"/>
    <w:link w:val="14"/>
    <w:qFormat/>
    <w:uiPriority w:val="0"/>
    <w:rPr>
      <w:rFonts w:ascii="宋体" w:hAnsi="Courier New" w:cs="Courier New"/>
      <w:kern w:val="2"/>
      <w:sz w:val="21"/>
      <w:szCs w:val="21"/>
    </w:rPr>
  </w:style>
  <w:style w:type="character" w:customStyle="1" w:styleId="41">
    <w:name w:val="批注文字 字符"/>
    <w:link w:val="11"/>
    <w:qFormat/>
    <w:uiPriority w:val="0"/>
    <w:rPr>
      <w:kern w:val="2"/>
      <w:sz w:val="30"/>
      <w:szCs w:val="24"/>
    </w:rPr>
  </w:style>
  <w:style w:type="character" w:customStyle="1" w:styleId="42">
    <w:name w:val="脚注文本 字符"/>
    <w:link w:val="23"/>
    <w:qFormat/>
    <w:uiPriority w:val="0"/>
    <w:rPr>
      <w:kern w:val="2"/>
      <w:sz w:val="18"/>
      <w:szCs w:val="18"/>
    </w:rPr>
  </w:style>
  <w:style w:type="character" w:customStyle="1" w:styleId="43">
    <w:name w:val="批注主题 字符"/>
    <w:link w:val="29"/>
    <w:qFormat/>
    <w:uiPriority w:val="0"/>
    <w:rPr>
      <w:b/>
      <w:bCs/>
      <w:kern w:val="2"/>
      <w:sz w:val="30"/>
      <w:szCs w:val="24"/>
    </w:rPr>
  </w:style>
  <w:style w:type="character" w:customStyle="1" w:styleId="44">
    <w:name w:val="明显参考1"/>
    <w:qFormat/>
    <w:uiPriority w:val="32"/>
    <w:rPr>
      <w:b/>
      <w:bCs/>
      <w:smallCaps/>
      <w:color w:val="C0504D"/>
      <w:spacing w:val="5"/>
      <w:u w:val="single"/>
    </w:rPr>
  </w:style>
  <w:style w:type="character" w:customStyle="1" w:styleId="45">
    <w:name w:val="页眉 字符"/>
    <w:link w:val="20"/>
    <w:qFormat/>
    <w:uiPriority w:val="99"/>
    <w:rPr>
      <w:kern w:val="2"/>
      <w:sz w:val="18"/>
      <w:szCs w:val="18"/>
    </w:rPr>
  </w:style>
  <w:style w:type="character" w:customStyle="1" w:styleId="46">
    <w:name w:val="批注框文本 字符"/>
    <w:link w:val="18"/>
    <w:qFormat/>
    <w:uiPriority w:val="0"/>
    <w:rPr>
      <w:kern w:val="2"/>
      <w:sz w:val="18"/>
      <w:szCs w:val="18"/>
    </w:rPr>
  </w:style>
  <w:style w:type="character" w:customStyle="1" w:styleId="47">
    <w:name w:val="尾注文本 字符"/>
    <w:link w:val="17"/>
    <w:qFormat/>
    <w:uiPriority w:val="0"/>
    <w:rPr>
      <w:kern w:val="2"/>
      <w:sz w:val="18"/>
      <w:szCs w:val="24"/>
    </w:rPr>
  </w:style>
  <w:style w:type="character" w:customStyle="1" w:styleId="48">
    <w:name w:val="标题 3 字符"/>
    <w:link w:val="4"/>
    <w:qFormat/>
    <w:uiPriority w:val="0"/>
    <w:rPr>
      <w:rFonts w:eastAsia="仿宋" w:cs="Times New Roman"/>
      <w:b/>
      <w:bCs/>
      <w:kern w:val="2"/>
      <w:sz w:val="32"/>
      <w:szCs w:val="32"/>
    </w:rPr>
  </w:style>
  <w:style w:type="character" w:customStyle="1" w:styleId="49">
    <w:name w:val="日期 字符"/>
    <w:link w:val="16"/>
    <w:qFormat/>
    <w:uiPriority w:val="0"/>
    <w:rPr>
      <w:kern w:val="2"/>
      <w:sz w:val="18"/>
      <w:szCs w:val="24"/>
    </w:rPr>
  </w:style>
  <w:style w:type="character" w:customStyle="1" w:styleId="50">
    <w:name w:val="页脚 字符"/>
    <w:link w:val="19"/>
    <w:qFormat/>
    <w:uiPriority w:val="99"/>
    <w:rPr>
      <w:kern w:val="2"/>
      <w:sz w:val="18"/>
      <w:szCs w:val="18"/>
    </w:rPr>
  </w:style>
  <w:style w:type="paragraph" w:styleId="51">
    <w:name w:val="List Paragraph"/>
    <w:basedOn w:val="1"/>
    <w:qFormat/>
    <w:uiPriority w:val="34"/>
    <w:pPr>
      <w:ind w:firstLine="420"/>
    </w:pPr>
  </w:style>
  <w:style w:type="paragraph" w:customStyle="1" w:styleId="52">
    <w:name w:val="修订1"/>
    <w:unhideWhenUsed/>
    <w:qFormat/>
    <w:uiPriority w:val="99"/>
    <w:rPr>
      <w:rFonts w:ascii="Times New Roman" w:hAnsi="Times New Roman" w:eastAsia="仿宋" w:cs="Times New Roman"/>
      <w:kern w:val="2"/>
      <w:sz w:val="30"/>
      <w:szCs w:val="24"/>
      <w:lang w:val="en-US" w:eastAsia="zh-CN" w:bidi="ar-SA"/>
    </w:rPr>
  </w:style>
  <w:style w:type="paragraph" w:customStyle="1" w:styleId="53">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character" w:customStyle="1" w:styleId="54">
    <w:name w:val="标题 字符"/>
    <w:basedOn w:val="32"/>
    <w:link w:val="28"/>
    <w:qFormat/>
    <w:uiPriority w:val="0"/>
    <w:rPr>
      <w:rFonts w:asciiTheme="majorHAnsi" w:hAnsiTheme="majorHAnsi" w:cstheme="majorBidi"/>
      <w:b/>
      <w:bCs/>
      <w:kern w:val="2"/>
      <w:sz w:val="44"/>
      <w:szCs w:val="32"/>
    </w:rPr>
  </w:style>
  <w:style w:type="character" w:customStyle="1" w:styleId="55">
    <w:name w:val="标题 1 字符"/>
    <w:basedOn w:val="32"/>
    <w:link w:val="2"/>
    <w:qFormat/>
    <w:uiPriority w:val="0"/>
    <w:rPr>
      <w:rFonts w:eastAsia="黑体" w:cs="Times New Roman"/>
      <w:b/>
      <w:bCs/>
      <w:kern w:val="44"/>
      <w:sz w:val="32"/>
      <w:szCs w:val="21"/>
    </w:rPr>
  </w:style>
  <w:style w:type="character" w:customStyle="1" w:styleId="56">
    <w:name w:val="font01"/>
    <w:basedOn w:val="32"/>
    <w:qFormat/>
    <w:uiPriority w:val="0"/>
    <w:rPr>
      <w:rFonts w:hint="eastAsia" w:ascii="宋体" w:hAnsi="宋体" w:eastAsia="宋体"/>
      <w:color w:val="000000"/>
      <w:sz w:val="21"/>
      <w:szCs w:val="21"/>
      <w:u w:val="none"/>
    </w:rPr>
  </w:style>
  <w:style w:type="character" w:customStyle="1" w:styleId="57">
    <w:name w:val="font11"/>
    <w:basedOn w:val="32"/>
    <w:qFormat/>
    <w:uiPriority w:val="0"/>
    <w:rPr>
      <w:rFonts w:hint="default" w:ascii="仿宋_GB2312" w:hAnsi="仿宋_GB2312"/>
      <w:color w:val="000000"/>
      <w:sz w:val="21"/>
      <w:szCs w:val="21"/>
      <w:u w:val="none"/>
    </w:rPr>
  </w:style>
  <w:style w:type="character" w:customStyle="1" w:styleId="58">
    <w:name w:val="font31"/>
    <w:basedOn w:val="32"/>
    <w:qFormat/>
    <w:uiPriority w:val="0"/>
    <w:rPr>
      <w:rFonts w:hint="eastAsia" w:ascii="宋体" w:hAnsi="宋体" w:eastAsia="宋体"/>
      <w:color w:val="000000"/>
      <w:sz w:val="21"/>
      <w:szCs w:val="21"/>
      <w:u w:val="none"/>
    </w:rPr>
  </w:style>
  <w:style w:type="character" w:customStyle="1" w:styleId="59">
    <w:name w:val="font21"/>
    <w:basedOn w:val="32"/>
    <w:qFormat/>
    <w:uiPriority w:val="0"/>
    <w:rPr>
      <w:rFonts w:hint="eastAsia" w:ascii="MingLiU-ExtB" w:hAnsi="MingLiU-ExtB" w:eastAsia="MingLiU-ExtB"/>
      <w:color w:val="000000"/>
      <w:sz w:val="21"/>
      <w:szCs w:val="21"/>
      <w:u w:val="none"/>
    </w:rPr>
  </w:style>
  <w:style w:type="character" w:customStyle="1" w:styleId="60">
    <w:name w:val="font41"/>
    <w:basedOn w:val="32"/>
    <w:qFormat/>
    <w:uiPriority w:val="0"/>
    <w:rPr>
      <w:rFonts w:hint="default" w:ascii="仿宋_GB2312" w:hAnsi="仿宋_GB2312"/>
      <w:color w:val="000000"/>
      <w:sz w:val="21"/>
      <w:szCs w:val="21"/>
      <w:u w:val="none"/>
    </w:rPr>
  </w:style>
  <w:style w:type="character" w:customStyle="1" w:styleId="61">
    <w:name w:val="font71"/>
    <w:basedOn w:val="32"/>
    <w:qFormat/>
    <w:uiPriority w:val="0"/>
    <w:rPr>
      <w:rFonts w:hint="eastAsia" w:ascii="宋体" w:hAnsi="宋体" w:eastAsia="宋体"/>
      <w:color w:val="000000"/>
      <w:sz w:val="21"/>
      <w:szCs w:val="21"/>
      <w:u w:val="none"/>
    </w:rPr>
  </w:style>
  <w:style w:type="character" w:customStyle="1" w:styleId="62">
    <w:name w:val="font81"/>
    <w:basedOn w:val="32"/>
    <w:qFormat/>
    <w:uiPriority w:val="0"/>
    <w:rPr>
      <w:rFonts w:hint="eastAsia" w:ascii="MingLiU-ExtB" w:hAnsi="MingLiU-ExtB" w:eastAsia="MingLiU-ExtB"/>
      <w:color w:val="000000"/>
      <w:sz w:val="21"/>
      <w:szCs w:val="21"/>
      <w:u w:val="none"/>
    </w:rPr>
  </w:style>
  <w:style w:type="character" w:customStyle="1" w:styleId="63">
    <w:name w:val="font51"/>
    <w:basedOn w:val="32"/>
    <w:qFormat/>
    <w:uiPriority w:val="0"/>
    <w:rPr>
      <w:rFonts w:hint="default" w:ascii="仿宋_GB2312" w:hAnsi="仿宋_GB2312"/>
      <w:color w:val="000000"/>
      <w:sz w:val="21"/>
      <w:szCs w:val="21"/>
      <w:u w:val="none"/>
    </w:rPr>
  </w:style>
  <w:style w:type="character" w:customStyle="1" w:styleId="64">
    <w:name w:val="font61"/>
    <w:basedOn w:val="32"/>
    <w:qFormat/>
    <w:uiPriority w:val="0"/>
    <w:rPr>
      <w:rFonts w:hint="eastAsia" w:ascii="宋体" w:hAnsi="宋体" w:eastAsia="宋体"/>
      <w:color w:val="000000"/>
      <w:sz w:val="21"/>
      <w:szCs w:val="21"/>
      <w:u w:val="none"/>
    </w:rPr>
  </w:style>
  <w:style w:type="character" w:customStyle="1" w:styleId="65">
    <w:name w:val="font101"/>
    <w:basedOn w:val="32"/>
    <w:qFormat/>
    <w:uiPriority w:val="0"/>
    <w:rPr>
      <w:rFonts w:hint="eastAsia" w:ascii="MingLiU-ExtB" w:hAnsi="MingLiU-ExtB" w:eastAsia="MingLiU-ExtB"/>
      <w:color w:val="000000"/>
      <w:sz w:val="21"/>
      <w:szCs w:val="21"/>
      <w:u w:val="none"/>
    </w:rPr>
  </w:style>
  <w:style w:type="character" w:customStyle="1" w:styleId="66">
    <w:name w:val="font14"/>
    <w:basedOn w:val="32"/>
    <w:qFormat/>
    <w:uiPriority w:val="0"/>
    <w:rPr>
      <w:rFonts w:hint="eastAsia" w:ascii="等线" w:hAnsi="等线" w:eastAsia="等线"/>
      <w:color w:val="000000"/>
      <w:sz w:val="21"/>
      <w:szCs w:val="21"/>
      <w:u w:val="none"/>
    </w:rPr>
  </w:style>
  <w:style w:type="character" w:customStyle="1" w:styleId="67">
    <w:name w:val="font91"/>
    <w:basedOn w:val="32"/>
    <w:qFormat/>
    <w:uiPriority w:val="0"/>
    <w:rPr>
      <w:rFonts w:hint="default" w:ascii="Calibri" w:hAnsi="Calibri" w:cs="Calibri"/>
      <w:color w:val="000000"/>
      <w:sz w:val="21"/>
      <w:szCs w:val="21"/>
      <w:u w:val="none"/>
    </w:rPr>
  </w:style>
  <w:style w:type="paragraph" w:customStyle="1" w:styleId="68">
    <w:name w:val="修订2"/>
    <w:hidden/>
    <w:semiHidden/>
    <w:qFormat/>
    <w:uiPriority w:val="99"/>
    <w:rPr>
      <w:rFonts w:ascii="Times New Roman" w:hAnsi="Times New Roman" w:eastAsia="仿宋" w:cs="Times New Roman"/>
      <w:kern w:val="2"/>
      <w:sz w:val="32"/>
      <w:szCs w:val="24"/>
      <w:lang w:val="en-US" w:eastAsia="zh-CN" w:bidi="ar-SA"/>
    </w:rPr>
  </w:style>
  <w:style w:type="paragraph" w:customStyle="1" w:styleId="69">
    <w:name w:val="修订3"/>
    <w:hidden/>
    <w:semiHidden/>
    <w:qFormat/>
    <w:uiPriority w:val="99"/>
    <w:rPr>
      <w:rFonts w:ascii="Times New Roman" w:hAnsi="Times New Roman" w:eastAsia="仿宋" w:cs="Times New Roman"/>
      <w:kern w:val="2"/>
      <w:sz w:val="32"/>
      <w:szCs w:val="24"/>
      <w:lang w:val="en-US" w:eastAsia="zh-CN" w:bidi="ar-SA"/>
    </w:rPr>
  </w:style>
  <w:style w:type="paragraph" w:customStyle="1" w:styleId="70">
    <w:name w:val="修订4"/>
    <w:hidden/>
    <w:semiHidden/>
    <w:qFormat/>
    <w:uiPriority w:val="99"/>
    <w:rPr>
      <w:rFonts w:ascii="Times New Roman" w:hAnsi="Times New Roman" w:eastAsia="仿宋" w:cs="Times New Roman"/>
      <w:kern w:val="2"/>
      <w:sz w:val="32"/>
      <w:szCs w:val="24"/>
      <w:lang w:val="en-US" w:eastAsia="zh-CN" w:bidi="ar-SA"/>
    </w:rPr>
  </w:style>
  <w:style w:type="paragraph" w:customStyle="1" w:styleId="71">
    <w:name w:val="Revision"/>
    <w:hidden/>
    <w:semiHidden/>
    <w:qFormat/>
    <w:uiPriority w:val="99"/>
    <w:rPr>
      <w:rFonts w:ascii="Times New Roman" w:hAnsi="Times New Roman" w:eastAsia="仿宋"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irsa</Company>
  <Pages>40</Pages>
  <Words>3539</Words>
  <Characters>20176</Characters>
  <Lines>168</Lines>
  <Paragraphs>47</Paragraphs>
  <TotalTime>161</TotalTime>
  <ScaleCrop>false</ScaleCrop>
  <LinksUpToDate>false</LinksUpToDate>
  <CharactersWithSpaces>23668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2022-06-28T19:22:00Z</dcterms:created>
  <dc:creator>雨林木风</dc:creator>
  <cp:lastModifiedBy>greatwall</cp:lastModifiedBy>
  <dcterms:modified xsi:type="dcterms:W3CDTF">2022-06-29T15:17:45Z</dcterms:modified>
  <dc:title>一次登陆湛江台风风暴潮数值预报</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007B60E51C574FCDBC789178DE836C4B</vt:lpwstr>
  </property>
</Properties>
</file>