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0CE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rPr>
      </w:pPr>
    </w:p>
    <w:p w14:paraId="5AA9CF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napToGrid w:val="0"/>
          <w:sz w:val="32"/>
          <w:szCs w:val="32"/>
        </w:rPr>
      </w:pPr>
      <w:bookmarkStart w:id="3" w:name="_GoBack"/>
      <w:bookmarkEnd w:id="3"/>
      <w:r>
        <w:rPr>
          <w:rFonts w:hint="eastAsia" w:ascii="方正小标宋简体" w:hAnsi="方正小标宋简体" w:eastAsia="方正小标宋简体" w:cs="方正小标宋简体"/>
          <w:snapToGrid w:val="0"/>
          <w:sz w:val="44"/>
          <w:szCs w:val="44"/>
          <w:lang w:eastAsia="zh-CN"/>
        </w:rPr>
        <w:t>关于加强</w:t>
      </w:r>
      <w:r>
        <w:rPr>
          <w:rFonts w:hint="eastAsia" w:ascii="方正小标宋简体" w:hAnsi="方正小标宋简体" w:eastAsia="方正小标宋简体" w:cs="方正小标宋简体"/>
          <w:snapToGrid w:val="0"/>
          <w:sz w:val="44"/>
          <w:szCs w:val="44"/>
        </w:rPr>
        <w:t>政府救助</w:t>
      </w:r>
      <w:r>
        <w:rPr>
          <w:rFonts w:hint="eastAsia" w:ascii="方正小标宋简体" w:hAnsi="方正小标宋简体" w:eastAsia="方正小标宋简体" w:cs="方正小标宋简体"/>
          <w:snapToGrid w:val="0"/>
          <w:sz w:val="44"/>
          <w:szCs w:val="44"/>
          <w:lang w:eastAsia="zh-CN"/>
        </w:rPr>
        <w:t>与</w:t>
      </w:r>
      <w:r>
        <w:rPr>
          <w:rFonts w:hint="eastAsia" w:ascii="方正小标宋简体" w:hAnsi="方正小标宋简体" w:eastAsia="方正小标宋简体" w:cs="方正小标宋简体"/>
          <w:snapToGrid w:val="0"/>
          <w:sz w:val="44"/>
          <w:szCs w:val="44"/>
        </w:rPr>
        <w:t>慈善帮扶有效衔接</w:t>
      </w:r>
      <w:r>
        <w:rPr>
          <w:rFonts w:hint="eastAsia" w:ascii="方正小标宋简体" w:hAnsi="方正小标宋简体" w:eastAsia="方正小标宋简体" w:cs="方正小标宋简体"/>
          <w:snapToGrid w:val="0"/>
          <w:sz w:val="44"/>
          <w:szCs w:val="44"/>
          <w:lang w:eastAsia="zh-CN"/>
        </w:rPr>
        <w:t>的</w:t>
      </w:r>
      <w:r>
        <w:rPr>
          <w:rFonts w:hint="eastAsia" w:ascii="方正小标宋简体" w:hAnsi="方正小标宋简体" w:eastAsia="方正小标宋简体" w:cs="方正小标宋简体"/>
          <w:snapToGrid w:val="0"/>
          <w:sz w:val="44"/>
          <w:szCs w:val="44"/>
        </w:rPr>
        <w:t>实施</w:t>
      </w:r>
      <w:r>
        <w:rPr>
          <w:rFonts w:hint="eastAsia" w:ascii="方正小标宋简体" w:hAnsi="方正小标宋简体" w:eastAsia="方正小标宋简体" w:cs="方正小标宋简体"/>
          <w:snapToGrid w:val="0"/>
          <w:sz w:val="44"/>
          <w:szCs w:val="44"/>
          <w:lang w:eastAsia="zh-CN"/>
        </w:rPr>
        <w:t>意见（试行）</w:t>
      </w:r>
    </w:p>
    <w:p w14:paraId="33ACCC30">
      <w:pPr>
        <w:keepNext w:val="0"/>
        <w:keepLines w:val="0"/>
        <w:pageBreakBefore w:val="0"/>
        <w:widowControl w:val="0"/>
        <w:numPr>
          <w:ilvl w:val="0"/>
          <w:numId w:val="0"/>
        </w:numPr>
        <w:tabs>
          <w:tab w:val="left" w:pos="804"/>
          <w:tab w:val="left" w:pos="7638"/>
        </w:tabs>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（征求意见稿）</w:t>
      </w:r>
    </w:p>
    <w:p w14:paraId="1A60F7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napToGrid w:val="0"/>
          <w:sz w:val="32"/>
          <w:szCs w:val="32"/>
          <w:lang w:val="en-US" w:eastAsia="zh-CN"/>
        </w:rPr>
      </w:pPr>
    </w:p>
    <w:p w14:paraId="3AA047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为深入贯彻党中央、国务院关于兜牢民生底线的决策部署，更好地满足困难群众救助服务需求，充分发挥慈善在第三次分配中的作用，形成政府救助和慈善帮扶有效衔接</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根据《民政部关于加强政府救助与慈善帮扶有效衔接的指导意见》(民发〔2023〕46号)</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河南省民政厅关于加强政府救助与慈善帮扶有效衔接的实施意见</w:t>
      </w:r>
      <w:r>
        <w:rPr>
          <w:rFonts w:hint="eastAsia" w:ascii="仿宋_GB2312" w:hAnsi="仿宋_GB2312" w:eastAsia="仿宋_GB2312" w:cs="仿宋_GB2312"/>
          <w:snapToGrid w:val="0"/>
          <w:sz w:val="32"/>
          <w:szCs w:val="32"/>
          <w:lang w:eastAsia="zh-CN"/>
        </w:rPr>
        <w:t>》（豫民文〔2024〕235号）</w:t>
      </w:r>
      <w:r>
        <w:rPr>
          <w:rFonts w:hint="eastAsia" w:ascii="仿宋_GB2312" w:hAnsi="仿宋_GB2312" w:eastAsia="仿宋_GB2312" w:cs="仿宋_GB2312"/>
          <w:snapToGrid w:val="0"/>
          <w:sz w:val="32"/>
          <w:szCs w:val="32"/>
        </w:rPr>
        <w:t>《河南省民政厅办公室关于印发〈河南省省级“困难群众救急难慈善专项基金”使用办法（试行）〉的通知》</w:t>
      </w:r>
      <w:r>
        <w:rPr>
          <w:rFonts w:hint="eastAsia" w:ascii="仿宋_GB2312" w:hAnsi="仿宋_GB2312" w:eastAsia="仿宋_GB2312" w:cs="仿宋_GB2312"/>
          <w:snapToGrid w:val="0"/>
          <w:sz w:val="32"/>
          <w:szCs w:val="32"/>
          <w:lang w:eastAsia="zh-CN"/>
        </w:rPr>
        <w:t>《中</w:t>
      </w:r>
      <w:r>
        <w:rPr>
          <w:rFonts w:hint="eastAsia" w:ascii="仿宋_GB2312" w:eastAsia="仿宋_GB2312"/>
          <w:snapToGrid w:val="0"/>
          <w:kern w:val="30"/>
          <w:sz w:val="32"/>
          <w:szCs w:val="32"/>
          <w:lang w:eastAsia="zh-CN"/>
        </w:rPr>
        <w:t>共平顶山市委办公室</w:t>
      </w:r>
      <w:r>
        <w:rPr>
          <w:rFonts w:hint="eastAsia" w:ascii="仿宋_GB2312" w:eastAsia="仿宋_GB2312"/>
          <w:snapToGrid w:val="0"/>
          <w:kern w:val="30"/>
          <w:sz w:val="32"/>
          <w:szCs w:val="32"/>
          <w:lang w:val="en-US" w:eastAsia="zh-CN"/>
        </w:rPr>
        <w:t xml:space="preserve"> 平顶山市政府办公室关于印发</w:t>
      </w:r>
      <w:r>
        <w:rPr>
          <w:rFonts w:hint="eastAsia" w:ascii="仿宋_GB2312" w:eastAsia="仿宋_GB2312"/>
          <w:snapToGrid w:val="0"/>
          <w:kern w:val="30"/>
          <w:sz w:val="32"/>
          <w:szCs w:val="32"/>
          <w:lang w:eastAsia="zh-CN"/>
        </w:rPr>
        <w:t>&lt;平顶山市改革完善社会救助制度实施办法&gt;》（平办〔202</w:t>
      </w:r>
      <w:r>
        <w:rPr>
          <w:rFonts w:hint="eastAsia" w:ascii="仿宋_GB2312" w:eastAsia="仿宋_GB2312"/>
          <w:snapToGrid w:val="0"/>
          <w:kern w:val="30"/>
          <w:sz w:val="32"/>
          <w:szCs w:val="32"/>
          <w:lang w:val="en-US" w:eastAsia="zh-CN"/>
        </w:rPr>
        <w:t>1</w:t>
      </w:r>
      <w:r>
        <w:rPr>
          <w:rFonts w:hint="eastAsia" w:ascii="仿宋_GB2312" w:eastAsia="仿宋_GB2312"/>
          <w:snapToGrid w:val="0"/>
          <w:kern w:val="30"/>
          <w:sz w:val="32"/>
          <w:szCs w:val="32"/>
          <w:lang w:eastAsia="zh-CN"/>
        </w:rPr>
        <w:t>〕</w:t>
      </w:r>
      <w:r>
        <w:rPr>
          <w:rFonts w:hint="eastAsia" w:ascii="仿宋_GB2312" w:eastAsia="仿宋_GB2312"/>
          <w:snapToGrid w:val="0"/>
          <w:kern w:val="30"/>
          <w:sz w:val="32"/>
          <w:szCs w:val="32"/>
          <w:lang w:val="en-US" w:eastAsia="zh-CN"/>
        </w:rPr>
        <w:t>16</w:t>
      </w:r>
      <w:r>
        <w:rPr>
          <w:rFonts w:hint="eastAsia" w:ascii="仿宋_GB2312" w:eastAsia="仿宋_GB2312"/>
          <w:snapToGrid w:val="0"/>
          <w:kern w:val="30"/>
          <w:sz w:val="32"/>
          <w:szCs w:val="32"/>
          <w:lang w:eastAsia="zh-CN"/>
        </w:rPr>
        <w:t>号）等文件精神</w:t>
      </w:r>
      <w:r>
        <w:rPr>
          <w:rFonts w:hint="eastAsia" w:ascii="仿宋_GB2312" w:hAnsi="仿宋_GB2312" w:eastAsia="仿宋_GB2312" w:cs="仿宋_GB2312"/>
          <w:snapToGrid w:val="0"/>
          <w:sz w:val="32"/>
          <w:szCs w:val="32"/>
        </w:rPr>
        <w:t>，结合我市实际，</w:t>
      </w:r>
      <w:r>
        <w:rPr>
          <w:rFonts w:hint="eastAsia" w:ascii="仿宋_GB2312" w:hAnsi="仿宋_GB2312" w:eastAsia="仿宋_GB2312" w:cs="仿宋_GB2312"/>
          <w:snapToGrid w:val="0"/>
          <w:sz w:val="32"/>
          <w:szCs w:val="32"/>
          <w:lang w:eastAsia="zh-CN"/>
        </w:rPr>
        <w:t>制定</w:t>
      </w:r>
      <w:r>
        <w:rPr>
          <w:rFonts w:hint="eastAsia" w:ascii="仿宋_GB2312" w:hAnsi="仿宋_GB2312" w:eastAsia="仿宋_GB2312" w:cs="仿宋_GB2312"/>
          <w:snapToGrid w:val="0"/>
          <w:sz w:val="32"/>
          <w:szCs w:val="32"/>
        </w:rPr>
        <w:t>如下实施</w:t>
      </w:r>
      <w:r>
        <w:rPr>
          <w:rFonts w:hint="eastAsia" w:ascii="仿宋_GB2312" w:hAnsi="仿宋_GB2312" w:eastAsia="仿宋_GB2312" w:cs="仿宋_GB2312"/>
          <w:snapToGrid w:val="0"/>
          <w:sz w:val="32"/>
          <w:szCs w:val="32"/>
          <w:lang w:eastAsia="zh-CN"/>
        </w:rPr>
        <w:t>意见</w:t>
      </w:r>
      <w:r>
        <w:rPr>
          <w:rFonts w:hint="eastAsia" w:ascii="仿宋_GB2312" w:hAnsi="仿宋_GB2312" w:eastAsia="仿宋_GB2312" w:cs="仿宋_GB2312"/>
          <w:snapToGrid w:val="0"/>
          <w:sz w:val="32"/>
          <w:szCs w:val="32"/>
        </w:rPr>
        <w:t>。</w:t>
      </w:r>
    </w:p>
    <w:p w14:paraId="54B3FE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rPr>
        <w:t>一、</w:t>
      </w:r>
      <w:r>
        <w:rPr>
          <w:rFonts w:hint="eastAsia" w:ascii="黑体" w:hAnsi="黑体" w:eastAsia="黑体" w:cs="黑体"/>
          <w:snapToGrid w:val="0"/>
          <w:sz w:val="32"/>
          <w:szCs w:val="32"/>
          <w:lang w:eastAsia="zh-CN"/>
        </w:rPr>
        <w:t>工作目标</w:t>
      </w:r>
    </w:p>
    <w:p w14:paraId="225F35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以习近平新时代中国特色社会主义思想为指导，深入贯彻党的二十大精神，坚持以人民为中心的发展思想，探索建立政府救助与慈善帮扶有效衔接，完善政策措施，健全工作机制，强化信息共享，推进融合发展，形成政府救助和慈善帮扶协调配合、资源统筹、优势互补、融合高效的新格局，合力解决困难群众急难愁盼问题，不断增强困难群众获得感、幸福感、安全感。</w:t>
      </w:r>
    </w:p>
    <w:p w14:paraId="7D3EE2A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lang w:eastAsia="zh-CN"/>
        </w:rPr>
        <w:t>基本原则</w:t>
      </w:r>
    </w:p>
    <w:p w14:paraId="071FC9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napToGrid w:val="0"/>
          <w:color w:val="000000"/>
          <w:sz w:val="32"/>
          <w:szCs w:val="32"/>
          <w:lang w:eastAsia="zh-CN"/>
        </w:rPr>
      </w:pPr>
      <w:r>
        <w:rPr>
          <w:rFonts w:hint="eastAsia" w:ascii="楷体" w:hAnsi="楷体" w:eastAsia="楷体" w:cs="楷体"/>
          <w:snapToGrid w:val="0"/>
          <w:sz w:val="32"/>
          <w:szCs w:val="32"/>
          <w:lang w:val="en-US" w:eastAsia="zh-CN"/>
        </w:rPr>
        <w:t>（一）</w:t>
      </w:r>
      <w:r>
        <w:rPr>
          <w:rFonts w:hint="eastAsia" w:ascii="楷体" w:hAnsi="楷体" w:eastAsia="楷体" w:cs="楷体"/>
          <w:snapToGrid w:val="0"/>
          <w:sz w:val="32"/>
          <w:szCs w:val="32"/>
          <w:lang w:eastAsia="zh-CN"/>
        </w:rPr>
        <w:t>应救尽救</w:t>
      </w:r>
    </w:p>
    <w:p w14:paraId="268EF6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pacing w:val="-6"/>
          <w:sz w:val="32"/>
          <w:szCs w:val="32"/>
          <w:lang w:eastAsia="zh-CN"/>
        </w:rPr>
        <w:t>按照兜底线、织密网、建机制的要求，强化困难群众主动发现，积极发挥社会救助兜底保障作用，确保困难群众“应救尽救”,同时避免重复救助，促进慈善帮扶资源更多更公平惠及困难群众。</w:t>
      </w:r>
    </w:p>
    <w:p w14:paraId="471F6E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楷体" w:hAnsi="楷体" w:eastAsia="楷体" w:cs="楷体"/>
          <w:snapToGrid w:val="0"/>
          <w:sz w:val="32"/>
          <w:szCs w:val="32"/>
          <w:lang w:eastAsia="zh-CN"/>
        </w:rPr>
      </w:pPr>
      <w:r>
        <w:rPr>
          <w:rFonts w:hint="eastAsia" w:ascii="楷体" w:hAnsi="楷体" w:eastAsia="楷体" w:cs="楷体"/>
          <w:snapToGrid w:val="0"/>
          <w:sz w:val="32"/>
          <w:szCs w:val="32"/>
          <w:lang w:eastAsia="zh-CN"/>
        </w:rPr>
        <w:t>（二）科学评估</w:t>
      </w:r>
    </w:p>
    <w:p w14:paraId="0A48E8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根据困难情形、困难程度和政府救助情况，慈善组织自行科学评估决定帮扶内容和水平。引导鼓励慈善组织优先向因患重特大疾病、遭遇重大灾害事故、突发意外事件等严重困难的对象提供慈善帮扶。</w:t>
      </w:r>
    </w:p>
    <w:p w14:paraId="5A9A701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200"/>
        <w:textAlignment w:val="auto"/>
        <w:rPr>
          <w:rFonts w:hint="eastAsia" w:ascii="楷体" w:hAnsi="楷体" w:eastAsia="楷体" w:cs="楷体"/>
          <w:snapToGrid w:val="0"/>
          <w:sz w:val="32"/>
          <w:szCs w:val="32"/>
          <w:lang w:eastAsia="zh-CN"/>
        </w:rPr>
      </w:pPr>
      <w:r>
        <w:rPr>
          <w:rFonts w:hint="eastAsia" w:ascii="楷体" w:hAnsi="楷体" w:eastAsia="楷体" w:cs="楷体"/>
          <w:snapToGrid w:val="0"/>
          <w:sz w:val="32"/>
          <w:szCs w:val="32"/>
          <w:lang w:eastAsia="zh-CN"/>
        </w:rPr>
        <w:t>量力而行</w:t>
      </w:r>
    </w:p>
    <w:p w14:paraId="3FC792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eastAsia="zh-CN"/>
        </w:rPr>
      </w:pPr>
      <w:r>
        <w:rPr>
          <w:rFonts w:hint="eastAsia" w:ascii="仿宋_GB2312" w:hAnsi="仿宋_GB2312" w:eastAsia="仿宋_GB2312" w:cs="仿宋_GB2312"/>
          <w:snapToGrid w:val="0"/>
          <w:color w:val="000000"/>
          <w:sz w:val="32"/>
          <w:szCs w:val="32"/>
          <w:lang w:eastAsia="zh-CN"/>
        </w:rPr>
        <w:t>慈善帮扶要建立在可持续的基础上，以困难群众的基础性、普惠性和兜底性需求为侧重点，科学制定帮扶措施，合理确定帮扶水平，避免出现过度帮扶，超额救助的情形。</w:t>
      </w:r>
    </w:p>
    <w:p w14:paraId="65A704D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lang w:eastAsia="zh-CN"/>
        </w:rPr>
        <w:t>适用对象</w:t>
      </w:r>
    </w:p>
    <w:p w14:paraId="62894A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本实施意见适用对象主要包括民政部门认定的最低生活保障家庭、特困供养对象、低保边缘救助家庭、刚性支出困难家庭、临时救助对象(近1年内)等。</w:t>
      </w:r>
    </w:p>
    <w:p w14:paraId="1BB6001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lang w:eastAsia="zh-CN"/>
        </w:rPr>
        <w:t>推进措施</w:t>
      </w:r>
    </w:p>
    <w:p w14:paraId="68EAC8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政府救助与慈善帮扶衔接制度是将困难群众经政府救助后 仍难以摆脱困境或现行社会救助政策难以覆盖的个性化需求进行转介，由慈善帮扶力量根据自身优势，按照简约、便捷、精准、高效原则有效满足困难群众多层次、多样化、差异性救助需求。</w:t>
      </w:r>
    </w:p>
    <w:p w14:paraId="6A1B2B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napToGrid w:val="0"/>
          <w:sz w:val="32"/>
          <w:szCs w:val="32"/>
          <w:lang w:val="en-US" w:eastAsia="zh-CN"/>
        </w:rPr>
      </w:pPr>
      <w:r>
        <w:rPr>
          <w:rFonts w:hint="eastAsia" w:ascii="楷体" w:hAnsi="楷体" w:eastAsia="楷体" w:cs="楷体"/>
          <w:snapToGrid w:val="0"/>
          <w:sz w:val="32"/>
          <w:szCs w:val="32"/>
          <w:lang w:val="en-US" w:eastAsia="zh-CN"/>
        </w:rPr>
        <w:t>(一)明确核心帮扶载体</w:t>
      </w:r>
    </w:p>
    <w:p w14:paraId="653A0A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县、乡、村三级社会救助服务联合体是实施政府救助和慈善帮扶核心载体。县级民政部门要充分发挥统筹协调作用，指导乡镇（街道）、村（居）委会通过“线上和线下”形式有效摸排在册困难群众和监测对象困难需求，</w:t>
      </w:r>
      <w:r>
        <w:rPr>
          <w:rFonts w:hint="default" w:ascii="仿宋_GB2312" w:hAnsi="仿宋_GB2312" w:eastAsia="仿宋_GB2312" w:cs="仿宋_GB2312"/>
          <w:snapToGrid w:val="0"/>
          <w:sz w:val="32"/>
          <w:szCs w:val="32"/>
          <w:lang w:val="en-US" w:eastAsia="zh-CN"/>
        </w:rPr>
        <w:t>加强与慈善组织的沟通协调，对暂不符合政府救助条件或政府救助后生活仍有困难的群众，</w:t>
      </w:r>
      <w:r>
        <w:rPr>
          <w:rFonts w:hint="eastAsia" w:ascii="仿宋_GB2312" w:hAnsi="仿宋_GB2312" w:eastAsia="仿宋_GB2312" w:cs="仿宋_GB2312"/>
          <w:snapToGrid w:val="0"/>
          <w:sz w:val="32"/>
          <w:szCs w:val="32"/>
          <w:lang w:val="en-US" w:eastAsia="zh-CN"/>
        </w:rPr>
        <w:t>在征得困难群众同意的前提下，</w:t>
      </w:r>
      <w:r>
        <w:rPr>
          <w:rFonts w:hint="default" w:ascii="仿宋_GB2312" w:hAnsi="仿宋_GB2312" w:eastAsia="仿宋_GB2312" w:cs="仿宋_GB2312"/>
          <w:snapToGrid w:val="0"/>
          <w:sz w:val="32"/>
          <w:szCs w:val="32"/>
          <w:lang w:val="en-US" w:eastAsia="zh-CN"/>
        </w:rPr>
        <w:t>向慈善组织提供有关信息，争取慈善帮扶</w:t>
      </w:r>
      <w:r>
        <w:rPr>
          <w:rFonts w:hint="eastAsia" w:ascii="仿宋_GB2312" w:hAnsi="仿宋_GB2312" w:eastAsia="仿宋_GB2312" w:cs="仿宋_GB2312"/>
          <w:snapToGrid w:val="0"/>
          <w:sz w:val="32"/>
          <w:szCs w:val="32"/>
          <w:lang w:val="en-US" w:eastAsia="zh-CN"/>
        </w:rPr>
        <w:t>；慈善总会要根据救助专项需求审核、发布、实施公募(非公募项目),引导慈善组织结合自身优势资源积极参与救助。</w:t>
      </w:r>
    </w:p>
    <w:p w14:paraId="6DBF59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napToGrid w:val="0"/>
          <w:sz w:val="32"/>
          <w:szCs w:val="32"/>
          <w:lang w:val="en-US" w:eastAsia="zh-CN"/>
        </w:rPr>
      </w:pPr>
      <w:r>
        <w:rPr>
          <w:rFonts w:hint="eastAsia" w:ascii="楷体" w:hAnsi="楷体" w:eastAsia="楷体" w:cs="楷体"/>
          <w:snapToGrid w:val="0"/>
          <w:sz w:val="32"/>
          <w:szCs w:val="32"/>
          <w:lang w:val="en-US" w:eastAsia="zh-CN"/>
        </w:rPr>
        <w:t>（二）建立工作运行机制</w:t>
      </w:r>
    </w:p>
    <w:p w14:paraId="662FCD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1.建立工作协调机制。</w:t>
      </w:r>
      <w:bookmarkStart w:id="0" w:name="OLE_LINK5"/>
      <w:r>
        <w:rPr>
          <w:rFonts w:hint="eastAsia" w:ascii="仿宋_GB2312" w:hAnsi="仿宋_GB2312" w:eastAsia="仿宋_GB2312" w:cs="仿宋_GB2312"/>
          <w:snapToGrid w:val="0"/>
          <w:sz w:val="32"/>
          <w:szCs w:val="32"/>
          <w:lang w:val="en-US" w:eastAsia="zh-CN"/>
        </w:rPr>
        <w:t>县级民政部门要加强与公益慈善力量合作，吸引更多公益慈善资源参与社会救助。要主动与公益慈善力量建立完善工作衔接协调机制，全面加强政府救助与慈善帮扶在政策、对象、信息、资源等方面的有效衔接。要定期与慈善组织沟通会商，通报政府救助与慈善帮扶衔接情况，分析研判工作形势，协调解决工作中存在的困难和问题，促进救助需求与公益慈善力量精准对接，更好满足困难群众多层次、多样化、差异性救助需求。</w:t>
      </w:r>
      <w:bookmarkEnd w:id="0"/>
    </w:p>
    <w:p w14:paraId="59BAC8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2.建立信息共享机制。</w:t>
      </w:r>
      <w:bookmarkStart w:id="1" w:name="OLE_LINK1"/>
      <w:r>
        <w:rPr>
          <w:rFonts w:hint="eastAsia" w:ascii="仿宋_GB2312" w:hAnsi="仿宋_GB2312" w:eastAsia="仿宋_GB2312" w:cs="仿宋_GB2312"/>
          <w:snapToGrid w:val="0"/>
          <w:sz w:val="32"/>
          <w:szCs w:val="32"/>
          <w:lang w:val="en-US" w:eastAsia="zh-CN"/>
        </w:rPr>
        <w:t>县级民政部门</w:t>
      </w:r>
      <w:bookmarkEnd w:id="1"/>
      <w:r>
        <w:rPr>
          <w:rFonts w:hint="eastAsia" w:ascii="仿宋_GB2312" w:hAnsi="仿宋_GB2312" w:eastAsia="仿宋_GB2312" w:cs="仿宋_GB2312"/>
          <w:snapToGrid w:val="0"/>
          <w:sz w:val="32"/>
          <w:szCs w:val="32"/>
          <w:lang w:val="en-US" w:eastAsia="zh-CN"/>
        </w:rPr>
        <w:t>与慈善组织要实现信息互通、资源共享，利用河南省低收入人口动态监测信息平台与河南省慈善联合总会系统，在困难群众救助接受政府救助和慈善帮扶情况等方面，实现民政部门与慈善组织之间的信息交换与共享，促进公益慈善资源合理配置，提升慈善帮扶成效。</w:t>
      </w:r>
    </w:p>
    <w:p w14:paraId="55C3B8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3.建立对象衔接机制。县级民政部门</w:t>
      </w:r>
      <w:r>
        <w:rPr>
          <w:rFonts w:hint="eastAsia" w:ascii="仿宋_GB2312" w:hAnsi="仿宋_GB2312" w:eastAsia="仿宋_GB2312" w:cs="仿宋_GB2312"/>
          <w:b w:val="0"/>
          <w:bCs w:val="0"/>
          <w:snapToGrid w:val="0"/>
          <w:color w:val="auto"/>
          <w:sz w:val="32"/>
          <w:szCs w:val="32"/>
          <w:lang w:val="en-US" w:eastAsia="zh-CN"/>
        </w:rPr>
        <w:t>要</w:t>
      </w:r>
      <w:r>
        <w:rPr>
          <w:rFonts w:hint="eastAsia" w:ascii="仿宋_GB2312" w:hAnsi="仿宋_GB2312" w:eastAsia="仿宋_GB2312" w:cs="仿宋_GB2312"/>
          <w:snapToGrid w:val="0"/>
          <w:sz w:val="32"/>
          <w:szCs w:val="32"/>
          <w:lang w:val="en-US" w:eastAsia="zh-CN"/>
        </w:rPr>
        <w:t>加强与慈善组织的沟通协调，对暂不符合政府救助条件或政府救助后生活仍有困难的群众，民政部门在征得困难群众同意的前提下，向符合宗旨和业务范围的慈善组织提供有关信息，争取慈善帮扶，指导有关慈善组织积极承接政府转介的慈善帮扶服务。对于民政部门转介的对象，慈善组织可以简化程序，根据其困难情形、困难程度等，及时予以帮扶。引导鼓励慈善组织等社会力量积极通过入户走访、节日慰问、邻里调研等方式，及时发现本地区符合帮扶条件的困难群众，慈善组织发现可能符合政府救助条件但未获得相应救助的困难群众，应及时告知当地民政部门、乡镇(街 道)或者协助提出救助申请。慈善组织在开展慈善帮扶前要加强与民政部门沟通对接，由民政部门对申请救助人员家庭经济状况进行核对，将核对报告作为慈善帮扶的重要参考。</w:t>
      </w:r>
    </w:p>
    <w:p w14:paraId="662A07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sz w:val="32"/>
          <w:szCs w:val="32"/>
          <w:lang w:val="en-US" w:eastAsia="zh-CN"/>
        </w:rPr>
        <w:t>4.建立创新引导机制。县级民政部门要动员引导慈善组织依据章程、业务范围和自身专</w:t>
      </w:r>
      <w:r>
        <w:rPr>
          <w:rFonts w:hint="eastAsia" w:ascii="仿宋_GB2312" w:hAnsi="仿宋_GB2312" w:eastAsia="仿宋_GB2312" w:cs="仿宋_GB2312"/>
          <w:snapToGrid w:val="0"/>
          <w:color w:val="000000"/>
          <w:sz w:val="32"/>
          <w:szCs w:val="32"/>
          <w:lang w:val="en-US" w:eastAsia="zh-CN"/>
        </w:rPr>
        <w:t>长优势，针对低收入人口实际需求设立慈善项目，不断提高慈善帮扶的针对性和实效性。鼓励慈善组织对困难群众开展点对点的慈善帮扶。积极创新慈善帮扶方式，聚焦低收入家庭中生活不能自理的老年人、未</w:t>
      </w:r>
      <w:r>
        <w:rPr>
          <w:rFonts w:hint="eastAsia" w:ascii="仿宋_GB2312" w:hAnsi="仿宋_GB2312" w:eastAsia="仿宋_GB2312" w:cs="仿宋_GB2312"/>
          <w:snapToGrid w:val="0"/>
          <w:sz w:val="32"/>
          <w:szCs w:val="32"/>
          <w:lang w:val="en-US" w:eastAsia="zh-CN"/>
        </w:rPr>
        <w:t>成</w:t>
      </w:r>
      <w:r>
        <w:rPr>
          <w:rFonts w:hint="eastAsia" w:ascii="仿宋_GB2312" w:hAnsi="仿宋_GB2312" w:eastAsia="仿宋_GB2312" w:cs="仿宋_GB2312"/>
          <w:snapToGrid w:val="0"/>
          <w:color w:val="000000"/>
          <w:sz w:val="32"/>
          <w:szCs w:val="32"/>
          <w:lang w:val="en-US" w:eastAsia="zh-CN"/>
        </w:rPr>
        <w:t>年人、残疾人和重病患者等特殊困难人员，在加大物质帮扶力度的同时，通过政府购买服务等方式，支持慈善组织有针对性地提供照护服务类、生活服务类和关爱服务类等救助服务。每年9月5日“中华慈善日”主题宣传活动期间，要鼓励支持慈善组织围绕社会救助主题策划开展形式多样、特色鲜明的慈善帮扶活动，打造一批面向困难群众的特色慈善活动和品牌项目。引导慈善组织积极参与重大活动或者重要节假日期间困难群众基本生活保障有关工作。</w:t>
      </w:r>
    </w:p>
    <w:p w14:paraId="218144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5.建立重点帮扶机制。强化“困难群众救急难慈善专项基金”功能发挥，各级民政部门要加强与同级慈善总会联动，通过利用“困难群众救急难慈善专项基金”、接受定向捐赠等方式，对遭遇突发事件、意外伤害、重大疾病或其他特殊原因导致基本生活陷入困境，其他社会救助制度暂时无法覆盖或救助之后基本生活暂时仍有严重困难的家庭或个人开展救助帮扶。各级慈善会根据资金募集情况和当地经济社会发展水平合理确定救助标准，规范救助流程，健全运转管理机制，多渠道募集资金，把基金做大做强。各地要充分利用“中华慈善日”等有利时机，设置慈善项目，开展募捐活动 。</w:t>
      </w:r>
    </w:p>
    <w:p w14:paraId="1FAFA2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sz w:val="32"/>
          <w:szCs w:val="32"/>
          <w:lang w:val="en-US" w:eastAsia="zh-CN"/>
        </w:rPr>
        <w:t>6.建立激励扶持机制。加快培育发展不同类型的慈善组织，鼓励支持以开展助力民生保障、乡村振兴、低收入人口救助帮扶为主要业务范围的社会组织认定为慈善组织。</w:t>
      </w:r>
      <w:r>
        <w:rPr>
          <w:rFonts w:hint="eastAsia" w:ascii="仿宋_GB2312" w:hAnsi="仿宋_GB2312" w:eastAsia="仿宋_GB2312" w:cs="仿宋_GB2312"/>
          <w:snapToGrid w:val="0"/>
          <w:color w:val="auto"/>
          <w:sz w:val="32"/>
          <w:szCs w:val="32"/>
          <w:lang w:val="en-US" w:eastAsia="zh-CN"/>
        </w:rPr>
        <w:t>鼓励通过公益创投、补贴奖励、提供场所、减免费用等多种方式，支持慈善组织的启动成立和初期运行。慈善组织开展的救助帮扶类慈善项目，按照有关规定享受税收优惠和费用减免。按</w:t>
      </w:r>
      <w:r>
        <w:rPr>
          <w:rFonts w:hint="eastAsia" w:ascii="仿宋_GB2312" w:hAnsi="仿宋_GB2312" w:eastAsia="仿宋_GB2312" w:cs="仿宋_GB2312"/>
          <w:snapToGrid w:val="0"/>
          <w:color w:val="000000"/>
          <w:sz w:val="32"/>
          <w:szCs w:val="32"/>
          <w:lang w:val="en-US" w:eastAsia="zh-CN"/>
        </w:rPr>
        <w:t>照政府购买服务有关要求，通过政府购买慈善组织服务支持慈善组织发展。鼓励慈善行业组织采取通报表扬、宣传推荐、项目资金资助等形式，激励支持公益慈善力量参与社会救助。对积极参与社会救助、做出突出贡献的慈善组织和个人进行宣传和表彰，并对相关慈善组织在等级评估等方面给予适当倾斜支持。</w:t>
      </w:r>
    </w:p>
    <w:p w14:paraId="6E5C11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napToGrid w:val="0"/>
          <w:sz w:val="32"/>
          <w:szCs w:val="32"/>
          <w:lang w:val="en-US" w:eastAsia="zh-CN"/>
        </w:rPr>
      </w:pPr>
      <w:r>
        <w:rPr>
          <w:rFonts w:hint="eastAsia" w:ascii="楷体" w:hAnsi="楷体" w:eastAsia="楷体" w:cs="楷体"/>
          <w:snapToGrid w:val="0"/>
          <w:sz w:val="32"/>
          <w:szCs w:val="32"/>
          <w:lang w:val="en-US" w:eastAsia="zh-CN"/>
        </w:rPr>
        <w:t>(三)推进特色善助</w:t>
      </w:r>
      <w:bookmarkStart w:id="2" w:name="OLE_LINK2"/>
      <w:r>
        <w:rPr>
          <w:rFonts w:hint="eastAsia" w:ascii="楷体" w:hAnsi="楷体" w:eastAsia="楷体" w:cs="楷体"/>
          <w:snapToGrid w:val="0"/>
          <w:sz w:val="32"/>
          <w:szCs w:val="32"/>
          <w:lang w:val="en-US" w:eastAsia="zh-CN"/>
        </w:rPr>
        <w:t>项目</w:t>
      </w:r>
      <w:bookmarkEnd w:id="2"/>
    </w:p>
    <w:p w14:paraId="73B4A3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96" w:firstLineChars="200"/>
        <w:textAlignment w:val="auto"/>
        <w:rPr>
          <w:rFonts w:hint="eastAsia" w:ascii="仿宋_GB2312" w:hAnsi="仿宋_GB2312" w:eastAsia="仿宋_GB2312" w:cs="仿宋_GB2312"/>
          <w:snapToGrid w:val="0"/>
          <w:color w:val="000000"/>
          <w:spacing w:val="-11"/>
          <w:sz w:val="32"/>
          <w:szCs w:val="32"/>
          <w:lang w:val="en-US" w:eastAsia="zh-CN"/>
        </w:rPr>
      </w:pPr>
      <w:r>
        <w:rPr>
          <w:rFonts w:hint="eastAsia" w:ascii="仿宋_GB2312" w:hAnsi="仿宋_GB2312" w:eastAsia="仿宋_GB2312" w:cs="仿宋_GB2312"/>
          <w:snapToGrid w:val="0"/>
          <w:color w:val="000000"/>
          <w:spacing w:val="-11"/>
          <w:sz w:val="32"/>
          <w:szCs w:val="32"/>
          <w:lang w:val="en-US" w:eastAsia="zh-CN"/>
        </w:rPr>
        <w:t>根据困难群众实际需求，积极推进但不限于以下四类善助项目：</w:t>
      </w:r>
    </w:p>
    <w:p w14:paraId="49C55F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napToGrid w:val="0"/>
          <w:color w:val="000000"/>
          <w:spacing w:val="-6"/>
          <w:sz w:val="32"/>
          <w:szCs w:val="32"/>
          <w:lang w:val="en-US" w:eastAsia="zh-CN"/>
        </w:rPr>
      </w:pPr>
      <w:r>
        <w:rPr>
          <w:rFonts w:hint="eastAsia" w:ascii="仿宋_GB2312" w:hAnsi="仿宋_GB2312" w:eastAsia="仿宋_GB2312" w:cs="仿宋_GB2312"/>
          <w:snapToGrid w:val="0"/>
          <w:color w:val="000000"/>
          <w:spacing w:val="-6"/>
          <w:sz w:val="32"/>
          <w:szCs w:val="32"/>
          <w:lang w:val="en-US" w:eastAsia="zh-CN"/>
        </w:rPr>
        <w:t>1.住房“助居项目”。对居住环境较差的分散供养特困人员、低保家庭、低保边缘家庭、刚性支出困难家庭实施集居室(卫生设施)改善、家具配备等救助项目，针对性改善困难群众居住环境。</w:t>
      </w:r>
    </w:p>
    <w:p w14:paraId="087BC5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2.教育“助学项目”。对困难家庭学生分学段实施帮扶，按照学前教育阶段、义务教育阶段、中等职业教育阶段、普通高中教育阶段、高等教育阶段分段实施教育资助，有效帮扶各教育阶段家庭经济困难学生。</w:t>
      </w:r>
    </w:p>
    <w:p w14:paraId="63E7E1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3.医疗“助医项目”。对基本医疗保险、大病保险和医疗救助三重保障后仍有大额医疗费用支出的困难群众实施医疗费用化解帮扶，有效改善困难群众就医刚性支出困境。</w:t>
      </w:r>
    </w:p>
    <w:p w14:paraId="5DF5B2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lang w:val="en-US" w:eastAsia="zh-CN"/>
        </w:rPr>
        <w:t>4.就业“助业项目”。通过困难群众精准画像，筛选出有就业条件的困难群众，实施个体技能培训、公益岗位推荐、相关资源链接、满足困难群众就业服务需求。</w:t>
      </w:r>
    </w:p>
    <w:p w14:paraId="1F8A007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napToGrid w:val="0"/>
          <w:sz w:val="32"/>
          <w:szCs w:val="32"/>
          <w:lang w:eastAsia="zh-CN"/>
        </w:rPr>
      </w:pPr>
      <w:r>
        <w:rPr>
          <w:rFonts w:hint="eastAsia" w:ascii="黑体" w:hAnsi="黑体" w:eastAsia="黑体" w:cs="黑体"/>
          <w:snapToGrid w:val="0"/>
          <w:sz w:val="32"/>
          <w:szCs w:val="32"/>
          <w:lang w:eastAsia="zh-CN"/>
        </w:rPr>
        <w:t>保障措施</w:t>
      </w:r>
    </w:p>
    <w:p w14:paraId="2169F5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楷体" w:hAnsi="楷体" w:eastAsia="楷体" w:cs="楷体"/>
          <w:snapToGrid w:val="0"/>
          <w:sz w:val="32"/>
          <w:szCs w:val="32"/>
          <w:lang w:val="en-US" w:eastAsia="zh-CN"/>
        </w:rPr>
        <w:t>（一）加强责任意识。</w:t>
      </w:r>
      <w:r>
        <w:rPr>
          <w:rFonts w:hint="eastAsia" w:ascii="仿宋_GB2312" w:hAnsi="仿宋_GB2312" w:eastAsia="仿宋_GB2312" w:cs="仿宋_GB2312"/>
          <w:snapToGrid w:val="0"/>
          <w:sz w:val="32"/>
          <w:szCs w:val="32"/>
          <w:lang w:eastAsia="zh-CN"/>
        </w:rPr>
        <w:t>建</w:t>
      </w:r>
      <w:r>
        <w:rPr>
          <w:rFonts w:hint="eastAsia" w:ascii="仿宋_GB2312" w:hAnsi="仿宋_GB2312" w:eastAsia="仿宋_GB2312" w:cs="仿宋_GB2312"/>
          <w:snapToGrid w:val="0"/>
          <w:color w:val="000000"/>
          <w:sz w:val="32"/>
          <w:szCs w:val="32"/>
          <w:lang w:val="en-US" w:eastAsia="zh-CN"/>
        </w:rPr>
        <w:t>立政府救助与慈善帮扶衔接制度是有效化解少数困难群众经政府救助后仍难以摆脱困境和现有救助政策盲区等问题的积极探索，对实现“弱有众扶”公共服务高品质优享具有重要意义。县级民政部门要充分认识建立健全政府救助与慈善帮扶衔接制度的重要性和紧迫性，增强使命感和责任感，将其作为加强和改进民生的一项重要任务，全面落实，扎实推进。</w:t>
      </w:r>
    </w:p>
    <w:p w14:paraId="299F6A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楷体" w:hAnsi="楷体" w:eastAsia="楷体" w:cs="楷体"/>
          <w:snapToGrid w:val="0"/>
          <w:sz w:val="32"/>
          <w:szCs w:val="32"/>
          <w:lang w:val="en-US" w:eastAsia="zh-CN"/>
        </w:rPr>
        <w:t>(二)加强组织领导。</w:t>
      </w:r>
      <w:r>
        <w:rPr>
          <w:rFonts w:hint="eastAsia" w:ascii="仿宋_GB2312" w:hAnsi="仿宋_GB2312" w:eastAsia="仿宋_GB2312" w:cs="仿宋_GB2312"/>
          <w:snapToGrid w:val="0"/>
          <w:color w:val="000000"/>
          <w:sz w:val="32"/>
          <w:szCs w:val="32"/>
          <w:lang w:val="en-US" w:eastAsia="zh-CN"/>
        </w:rPr>
        <w:t>县级民政部门、慈善总会要将加强政府救助与慈善帮扶衔接作为推动我市社会救助和公益慈善事业高质量发展的重点工作，加强与慈善总会、红十字会、共青团、妇联等群团组织以及其他社会组织的沟通协调，形成工作合力。民政部门应积极争取政府加大经费投入，在建立专项基金、建设信息共享平台以及工作保障等方面给予必要的支持。鼓励引导公民、法人及其他组织通过向宗旨和业务范围符合条件的慈善组织捐赠发起设立社会救助专项基金、慈善冠名基金等。也可结合实际，探索研究新模式、新办法，做好政府救助与慈善帮扶的有效衔接，积极推动慈善力量和社会组织参与社会救助工作。</w:t>
      </w:r>
    </w:p>
    <w:p w14:paraId="76ED4C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楷体" w:hAnsi="楷体" w:eastAsia="楷体" w:cs="楷体"/>
          <w:snapToGrid w:val="0"/>
          <w:sz w:val="32"/>
          <w:szCs w:val="32"/>
          <w:lang w:val="en-US" w:eastAsia="zh-CN"/>
        </w:rPr>
        <w:t>(三)加强监督管理。</w:t>
      </w:r>
      <w:r>
        <w:rPr>
          <w:rFonts w:hint="eastAsia" w:ascii="仿宋_GB2312" w:hAnsi="仿宋_GB2312" w:eastAsia="仿宋_GB2312" w:cs="仿宋_GB2312"/>
          <w:snapToGrid w:val="0"/>
          <w:color w:val="000000"/>
          <w:sz w:val="32"/>
          <w:szCs w:val="32"/>
          <w:lang w:val="en-US" w:eastAsia="zh-CN"/>
        </w:rPr>
        <w:t>县级民政部门要依法履行监督管理职责，加强对慈善组织等公益慈善力量参与社会救助的指导、监督和管理，畅通投诉举报渠道。加大对相关人员的培训力度，提升慈善帮扶能力。慈善组织要建立完善工作机制，明确救助条件、救助标准、救助流程，加强内控机制和廉政风险防控机制建设，严防以权谋私、优亲厚友等违规违纪问题发生，自觉接受审计监督和主管部门的日常监管，按照规定公开救助帮扶类慈善项目有关情况，接受社会监督。</w:t>
      </w:r>
    </w:p>
    <w:p w14:paraId="4E0D6D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000000"/>
          <w:sz w:val="32"/>
          <w:szCs w:val="32"/>
          <w:lang w:val="en-US" w:eastAsia="zh-CN"/>
        </w:rPr>
      </w:pPr>
      <w:r>
        <w:rPr>
          <w:rFonts w:hint="eastAsia" w:ascii="楷体" w:hAnsi="楷体" w:eastAsia="楷体" w:cs="楷体"/>
          <w:snapToGrid w:val="0"/>
          <w:sz w:val="32"/>
          <w:szCs w:val="32"/>
          <w:lang w:val="en-US" w:eastAsia="zh-CN"/>
        </w:rPr>
        <w:t>(四)加强宣传引导。</w:t>
      </w:r>
      <w:r>
        <w:rPr>
          <w:rFonts w:hint="eastAsia" w:ascii="仿宋_GB2312" w:hAnsi="仿宋_GB2312" w:eastAsia="仿宋_GB2312" w:cs="仿宋_GB2312"/>
          <w:snapToGrid w:val="0"/>
          <w:color w:val="000000"/>
          <w:sz w:val="32"/>
          <w:szCs w:val="32"/>
          <w:lang w:val="en-US" w:eastAsia="zh-CN"/>
        </w:rPr>
        <w:t>县级民政部门要</w:t>
      </w:r>
      <w:r>
        <w:rPr>
          <w:rFonts w:hint="eastAsia" w:ascii="仿宋_GB2312" w:hAnsi="仿宋_GB2312" w:eastAsia="仿宋_GB2312" w:cs="仿宋_GB2312"/>
          <w:snapToGrid w:val="0"/>
          <w:sz w:val="32"/>
          <w:szCs w:val="32"/>
          <w:lang w:eastAsia="zh-CN"/>
        </w:rPr>
        <w:t>通</w:t>
      </w:r>
      <w:r>
        <w:rPr>
          <w:rFonts w:hint="eastAsia" w:ascii="仿宋_GB2312" w:hAnsi="仿宋_GB2312" w:eastAsia="仿宋_GB2312" w:cs="仿宋_GB2312"/>
          <w:snapToGrid w:val="0"/>
          <w:color w:val="000000"/>
          <w:sz w:val="32"/>
          <w:szCs w:val="32"/>
          <w:lang w:val="en-US" w:eastAsia="zh-CN"/>
        </w:rPr>
        <w:t>过“传统媒体+新媒体”“线上+线下”等多种形式，宣传慈善政策法规，普及慈善知识，传播慈善文化，总结推广政府救助与慈善帮扶合力解决困难群众急难愁盼问题的典型案例和经验做法，鼓励引导公益慈善力量积极参与社会救助。</w:t>
      </w:r>
      <w:r>
        <w:rPr>
          <w:rFonts w:hint="eastAsia" w:ascii="仿宋_GB2312" w:hAnsi="仿宋_GB2312" w:eastAsia="仿宋_GB2312" w:cs="仿宋_GB2312"/>
          <w:snapToGrid w:val="0"/>
          <w:color w:val="auto"/>
          <w:sz w:val="32"/>
          <w:szCs w:val="32"/>
          <w:lang w:val="en-US" w:eastAsia="zh-CN"/>
        </w:rPr>
        <w:t>市民政局对公益慈善力量参与社会救助的典型案例将及时报送省民政厅参与案例征集，</w:t>
      </w:r>
      <w:r>
        <w:rPr>
          <w:rFonts w:hint="eastAsia" w:ascii="仿宋_GB2312" w:hAnsi="仿宋_GB2312" w:eastAsia="仿宋_GB2312" w:cs="仿宋_GB2312"/>
          <w:snapToGrid w:val="0"/>
          <w:color w:val="000000"/>
          <w:sz w:val="32"/>
          <w:szCs w:val="32"/>
          <w:lang w:val="en-US" w:eastAsia="zh-CN"/>
        </w:rPr>
        <w:t>选树一批社会救助领域的优秀慈善组织、品牌慈善项目，发挥示范引领作用。</w:t>
      </w:r>
    </w:p>
    <w:p w14:paraId="28746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rPr>
      </w:pPr>
    </w:p>
    <w:p w14:paraId="5DD701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rPr>
      </w:pPr>
    </w:p>
    <w:p w14:paraId="7005C1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sz w:val="32"/>
          <w:szCs w:val="32"/>
        </w:rPr>
      </w:pPr>
    </w:p>
    <w:p w14:paraId="012D8662"/>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124B7"/>
    <w:multiLevelType w:val="singleLevel"/>
    <w:tmpl w:val="D28124B7"/>
    <w:lvl w:ilvl="0" w:tentative="0">
      <w:start w:val="3"/>
      <w:numFmt w:val="chineseCounting"/>
      <w:suff w:val="nothing"/>
      <w:lvlText w:val="（%1）"/>
      <w:lvlJc w:val="left"/>
      <w:rPr>
        <w:rFonts w:hint="eastAsia"/>
      </w:rPr>
    </w:lvl>
  </w:abstractNum>
  <w:abstractNum w:abstractNumId="1">
    <w:nsid w:val="FFDF19AA"/>
    <w:multiLevelType w:val="singleLevel"/>
    <w:tmpl w:val="FFDF19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E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2025-08-19T08:08:37Z</dcterms:created>
  <dc:creator>Administrator</dc:creator>
  <cp:lastModifiedBy>biu</cp:lastModifiedBy>
  <dcterms:modified xsi:type="dcterms:W3CDTF">2025-08-19T08:09:04Z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eyJoZGlkIjoiYjlhMzdhYjFlN2UzMzJmOTlmOTZiYTZkYmZhMGNjMjUiLCJ1c2VySWQiOiI5Mzc4NTU4OTIifQ==</vt:lpwstr>
  </property>
  <property fmtid="{D5CDD505-2E9C-101B-9397-08002B2CF9AE}" pid="4" name="ICV">
    <vt:lpwstr>06105DC89BB2422C968884F80B7F9D59_12</vt:lpwstr>
  </property>
</Properties>
</file>