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9BF9C">
      <w:pP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附件2</w:t>
      </w:r>
    </w:p>
    <w:p w14:paraId="467C1CC1">
      <w:pPr>
        <w:pStyle w:val="2"/>
        <w:ind w:left="0" w:leftChars="0" w:firstLine="0" w:firstLineChars="0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p w14:paraId="38B25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jc w:val="center"/>
        <w:textAlignment w:val="auto"/>
        <w:outlineLvl w:val="9"/>
        <w:rPr>
          <w:rFonts w:hint="eastAsia" w:ascii="微软雅黑" w:hAnsi="微软雅黑" w:eastAsia="微软雅黑" w:cs="微软雅黑"/>
          <w:w w:val="95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w w:val="95"/>
          <w:sz w:val="44"/>
          <w:szCs w:val="44"/>
          <w:lang w:val="en-US" w:eastAsia="zh-CN"/>
        </w:rPr>
        <w:t>《殡仪馆管理办法</w:t>
      </w:r>
      <w:r>
        <w:rPr>
          <w:rFonts w:hint="eastAsia" w:ascii="微软雅黑" w:hAnsi="微软雅黑" w:eastAsia="微软雅黑" w:cs="微软雅黑"/>
          <w:w w:val="95"/>
          <w:sz w:val="44"/>
          <w:szCs w:val="44"/>
          <w:lang w:val="en-US" w:eastAsia="zh-CN"/>
        </w:rPr>
        <w:t>（征求意见稿）</w:t>
      </w:r>
      <w:r>
        <w:rPr>
          <w:rFonts w:hint="eastAsia" w:ascii="微软雅黑" w:hAnsi="微软雅黑" w:eastAsia="微软雅黑" w:cs="微软雅黑"/>
          <w:w w:val="95"/>
          <w:sz w:val="44"/>
          <w:szCs w:val="44"/>
          <w:lang w:val="en-US" w:eastAsia="zh-CN"/>
        </w:rPr>
        <w:t>》起草说明</w:t>
      </w:r>
    </w:p>
    <w:p w14:paraId="00EED655">
      <w:pPr>
        <w:pStyle w:val="2"/>
        <w:rPr>
          <w:rFonts w:hint="eastAsia" w:ascii="微软雅黑" w:hAnsi="微软雅黑" w:eastAsia="微软雅黑" w:cs="微软雅黑"/>
          <w:lang w:val="en-US" w:eastAsia="zh-CN"/>
        </w:rPr>
      </w:pPr>
    </w:p>
    <w:p w14:paraId="108DD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32"/>
          <w:szCs w:val="32"/>
          <w:lang w:val="en-US" w:eastAsia="zh-CN"/>
        </w:rPr>
        <w:t>一</w:t>
      </w:r>
      <w:r>
        <w:rPr>
          <w:rFonts w:hint="eastAsia" w:ascii="微软雅黑" w:hAnsi="微软雅黑" w:eastAsia="微软雅黑" w:cs="微软雅黑"/>
          <w:bCs/>
          <w:sz w:val="32"/>
          <w:szCs w:val="32"/>
          <w:lang w:eastAsia="zh-CN"/>
        </w:rPr>
        <w:t>、</w:t>
      </w:r>
      <w:r>
        <w:rPr>
          <w:rFonts w:hint="eastAsia" w:ascii="微软雅黑" w:hAnsi="微软雅黑" w:eastAsia="微软雅黑" w:cs="微软雅黑"/>
          <w:bCs/>
          <w:sz w:val="32"/>
          <w:szCs w:val="32"/>
          <w:lang w:eastAsia="zh-CN"/>
        </w:rPr>
        <w:t>制定背景</w:t>
      </w:r>
      <w:bookmarkStart w:id="0" w:name="_GoBack"/>
      <w:bookmarkEnd w:id="0"/>
    </w:p>
    <w:p w14:paraId="1D23A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2026年3月30日修订施行的</w:t>
      </w:r>
      <w:r>
        <w:rPr>
          <w:rFonts w:hint="eastAsia" w:ascii="微软雅黑" w:hAnsi="微软雅黑" w:eastAsia="微软雅黑" w:cs="微软雅黑"/>
          <w:sz w:val="32"/>
          <w:szCs w:val="32"/>
        </w:rPr>
        <w:t>《殡葬管理条例》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（以下简称《条例》），对殡仪馆管理提出了新的要求。制定《殡仪馆管理办法》，是贯彻落实《条例》、填补专门管理办法空白的具体措施，是强化殡仪馆公益属性，加强殡仪馆监督管理，提高殡仪服务质量的必然要求。经充分调研论证，民政部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起草了《殡仪馆管理办法（征求意见稿）》（以下简称办法）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。</w:t>
      </w:r>
    </w:p>
    <w:p w14:paraId="44BB4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Lines="0" w:line="60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Cs/>
          <w:sz w:val="32"/>
          <w:szCs w:val="32"/>
          <w:lang w:eastAsia="zh-CN"/>
        </w:rPr>
        <w:t>二、</w:t>
      </w:r>
      <w:r>
        <w:rPr>
          <w:rFonts w:hint="eastAsia" w:ascii="微软雅黑" w:hAnsi="微软雅黑" w:eastAsia="微软雅黑" w:cs="微软雅黑"/>
          <w:bCs/>
          <w:sz w:val="32"/>
          <w:szCs w:val="32"/>
          <w:lang w:eastAsia="zh-CN"/>
        </w:rPr>
        <w:t>主要内容</w:t>
      </w:r>
    </w:p>
    <w:p w14:paraId="3D994C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jc w:val="both"/>
        <w:textAlignment w:val="auto"/>
        <w:outlineLvl w:val="9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办法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共7章5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条，分别为总则、规划建设、服务规范、内部管理、人员管理、监督管理、附则。主要内容包括：</w:t>
      </w:r>
    </w:p>
    <w:p w14:paraId="1A606795">
      <w:pPr>
        <w:pStyle w:val="2"/>
        <w:keepNext w:val="0"/>
        <w:keepLines w:val="0"/>
        <w:pageBreakBefore w:val="0"/>
        <w:tabs>
          <w:tab w:val="right" w:leader="dot" w:pos="8296"/>
        </w:tabs>
        <w:kinsoku/>
        <w:wordWrap/>
        <w:overflowPunct/>
        <w:topLinePunct w:val="0"/>
        <w:autoSpaceDE/>
        <w:autoSpaceDN/>
        <w:bidi w:val="0"/>
        <w:spacing w:afterLines="0" w:line="600" w:lineRule="exact"/>
        <w:ind w:firstLine="0" w:firstLineChars="0"/>
        <w:jc w:val="both"/>
        <w:textAlignment w:val="auto"/>
        <w:outlineLvl w:val="9"/>
        <w:rPr>
          <w:rFonts w:hint="eastAsia" w:ascii="微软雅黑" w:hAnsi="微软雅黑" w:eastAsia="微软雅黑" w:cs="微软雅黑"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</w:rPr>
        <w:t>（一）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eastAsia="zh-CN"/>
        </w:rPr>
        <w:t>规定殡仪馆管理的总体要求。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一是</w:t>
      </w: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eastAsia="zh-CN"/>
        </w:rPr>
        <w:t>办法的制定依据和适用范围（第一条、第二条）。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二是</w:t>
      </w: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kern w:val="2"/>
          <w:sz w:val="32"/>
          <w:szCs w:val="32"/>
          <w:u w:val="none"/>
          <w:lang w:eastAsia="zh-CN"/>
        </w:rPr>
        <w:t>殡仪馆</w:t>
      </w:r>
      <w:r>
        <w:rPr>
          <w:rStyle w:val="6"/>
          <w:rFonts w:hint="eastAsia" w:ascii="微软雅黑" w:hAnsi="微软雅黑" w:eastAsia="微软雅黑" w:cs="微软雅黑"/>
          <w:b w:val="0"/>
          <w:bCs/>
          <w:color w:val="auto"/>
          <w:kern w:val="2"/>
          <w:sz w:val="32"/>
          <w:szCs w:val="32"/>
          <w:u w:val="none"/>
          <w:lang w:eastAsia="zh-CN"/>
        </w:rPr>
        <w:t>管理的体制和职责</w:t>
      </w:r>
      <w:r>
        <w:rPr>
          <w:rFonts w:hint="eastAsia" w:ascii="微软雅黑" w:hAnsi="微软雅黑" w:eastAsia="微软雅黑" w:cs="微软雅黑"/>
          <w:bCs/>
          <w:color w:val="auto"/>
          <w:sz w:val="32"/>
          <w:szCs w:val="32"/>
          <w:lang w:eastAsia="zh-CN"/>
        </w:rPr>
        <w:t>（第</w:t>
      </w:r>
      <w:r>
        <w:rPr>
          <w:rFonts w:hint="eastAsia" w:ascii="微软雅黑" w:hAnsi="微软雅黑" w:eastAsia="微软雅黑" w:cs="微软雅黑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微软雅黑" w:hAnsi="微软雅黑" w:eastAsia="微软雅黑" w:cs="微软雅黑"/>
          <w:bCs/>
          <w:color w:val="auto"/>
          <w:sz w:val="32"/>
          <w:szCs w:val="32"/>
          <w:lang w:val="en-US" w:eastAsia="zh-CN"/>
        </w:rPr>
        <w:t>条</w:t>
      </w:r>
      <w:r>
        <w:rPr>
          <w:rFonts w:hint="eastAsia" w:ascii="微软雅黑" w:hAnsi="微软雅黑" w:eastAsia="微软雅黑" w:cs="微软雅黑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bCs/>
          <w:sz w:val="32"/>
          <w:szCs w:val="32"/>
          <w:lang w:eastAsia="zh-CN"/>
        </w:rPr>
        <w:t>。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eastAsia="zh-CN"/>
        </w:rPr>
        <w:t>三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/>
        </w:rPr>
        <w:t>是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>对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  <w:lang w:val="en-US" w:eastAsia="zh-CN"/>
        </w:rPr>
        <w:t>殡仪馆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  <w:lang w:val="en-US" w:eastAsia="zh-CN"/>
        </w:rPr>
        <w:t>及其工作人员的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  <w:lang w:val="en-US" w:eastAsia="zh-CN"/>
        </w:rPr>
        <w:t>管理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  <w:lang w:val="en-US" w:eastAsia="zh-CN"/>
        </w:rPr>
        <w:t>要求和行业自律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  <w:lang w:val="en-US" w:eastAsia="zh-CN"/>
        </w:rPr>
        <w:t>（第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  <w:lang w:val="en-US" w:eastAsia="zh-CN"/>
        </w:rPr>
        <w:t>五条、第六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  <w:lang w:val="en-US" w:eastAsia="zh-CN"/>
        </w:rPr>
        <w:t>条）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 w14:paraId="729FA10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after="0" w:afterLines="0" w:line="600" w:lineRule="exact"/>
        <w:ind w:firstLine="64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32"/>
          <w:szCs w:val="32"/>
          <w:lang w:val="zh-CN" w:eastAsia="zh-CN" w:bidi="ar-SA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（二）明确殡仪馆规划建设要求。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zh-CN"/>
        </w:rPr>
        <w:t>一是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殡仪馆建设的规划要求（第七条）。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zh-CN"/>
        </w:rPr>
        <w:t>二是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殡仪馆建设的选址和建设程序（第八条、第九条）。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zh-CN"/>
        </w:rPr>
        <w:t>三是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殡仪馆的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32"/>
          <w:szCs w:val="32"/>
          <w:lang w:val="zh-CN" w:eastAsia="zh-CN" w:bidi="ar-SA"/>
        </w:rPr>
        <w:t>功能区域、设备配置（第十条、第十一条）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204EC10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napToGrid/>
        <w:spacing w:after="0" w:afterLines="0" w:line="600" w:lineRule="exact"/>
        <w:ind w:firstLine="64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（三）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规定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殡仪馆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的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服务规范。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zh-CN"/>
        </w:rPr>
        <w:t>一是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殡仪馆必须具备的服务规范（第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十二条至第十七条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）。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en-US" w:eastAsia="zh-CN"/>
        </w:rPr>
        <w:t>是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>对殡仪馆服务重点环节，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>规定</w:t>
      </w:r>
      <w:r>
        <w:rPr>
          <w:rFonts w:hint="eastAsia" w:ascii="微软雅黑" w:hAnsi="微软雅黑" w:eastAsia="微软雅黑" w:cs="微软雅黑"/>
          <w:bCs/>
          <w:sz w:val="32"/>
          <w:szCs w:val="32"/>
          <w:lang w:val="en-US" w:eastAsia="zh-CN"/>
        </w:rPr>
        <w:t>有针对性的服务规范要求。（第</w:t>
      </w:r>
      <w:r>
        <w:rPr>
          <w:rFonts w:hint="eastAsia" w:ascii="微软雅黑" w:hAnsi="微软雅黑" w:eastAsia="微软雅黑" w:cs="微软雅黑"/>
          <w:bCs/>
          <w:sz w:val="32"/>
          <w:szCs w:val="32"/>
          <w:lang w:val="en-US" w:eastAsia="zh-CN"/>
        </w:rPr>
        <w:t>十八条至第二十九</w:t>
      </w:r>
      <w:r>
        <w:rPr>
          <w:rFonts w:hint="eastAsia" w:ascii="微软雅黑" w:hAnsi="微软雅黑" w:eastAsia="微软雅黑" w:cs="微软雅黑"/>
          <w:bCs/>
          <w:sz w:val="32"/>
          <w:szCs w:val="32"/>
          <w:lang w:val="en-US" w:eastAsia="zh-CN"/>
        </w:rPr>
        <w:t>条）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en-US" w:eastAsia="zh-CN"/>
        </w:rPr>
        <w:t>。</w:t>
      </w:r>
    </w:p>
    <w:p w14:paraId="11CB542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afterLines="0" w:line="600" w:lineRule="exact"/>
        <w:ind w:firstLine="64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（四）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规范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殡仪馆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的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内部管理。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zh-CN"/>
        </w:rPr>
        <w:t>一是</w:t>
      </w:r>
      <w:r>
        <w:rPr>
          <w:rFonts w:hint="eastAsia" w:ascii="微软雅黑" w:hAnsi="微软雅黑" w:eastAsia="微软雅黑" w:cs="微软雅黑"/>
          <w:bCs/>
          <w:kern w:val="0"/>
          <w:sz w:val="32"/>
          <w:szCs w:val="32"/>
          <w:lang w:eastAsia="zh-CN"/>
        </w:rPr>
        <w:t>明确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</w:rPr>
        <w:t>殡仪馆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lang w:eastAsia="zh-CN"/>
        </w:rPr>
        <w:t>应当建立健全从遗体接运到骨灰移交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lang w:eastAsia="zh-CN"/>
        </w:rPr>
        <w:t>或存放的全过程服务记录制度（第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lang w:eastAsia="zh-CN"/>
        </w:rPr>
        <w:t>三十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lang w:val="en-US" w:eastAsia="zh-CN"/>
        </w:rPr>
        <w:t>条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lang w:eastAsia="zh-CN"/>
        </w:rPr>
        <w:t>）。</w:t>
      </w:r>
      <w:r>
        <w:rPr>
          <w:rFonts w:hint="eastAsia" w:ascii="微软雅黑" w:hAnsi="微软雅黑" w:eastAsia="微软雅黑" w:cs="微软雅黑"/>
          <w:b/>
          <w:bCs/>
          <w:color w:val="000000"/>
          <w:sz w:val="32"/>
          <w:szCs w:val="32"/>
          <w:lang w:eastAsia="zh-CN"/>
        </w:rPr>
        <w:t>二是</w:t>
      </w:r>
      <w:r>
        <w:rPr>
          <w:rFonts w:hint="eastAsia" w:ascii="微软雅黑" w:hAnsi="微软雅黑" w:eastAsia="微软雅黑" w:cs="微软雅黑"/>
          <w:color w:val="000000"/>
          <w:sz w:val="32"/>
          <w:szCs w:val="32"/>
          <w:lang w:eastAsia="zh-CN"/>
        </w:rPr>
        <w:t>在殡仪馆的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  <w:lang w:eastAsia="zh-CN"/>
        </w:rPr>
        <w:t>档案管理、财务管理、火化证明管理、信息化建设、安全管理等方面，作出具体规定（第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  <w:lang w:eastAsia="zh-CN"/>
        </w:rPr>
        <w:t>三十一条至第三十七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  <w:lang w:val="en-US" w:eastAsia="zh-CN"/>
        </w:rPr>
        <w:t>条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32"/>
          <w:szCs w:val="32"/>
          <w:lang w:val="en-US" w:eastAsia="zh-CN"/>
        </w:rPr>
        <w:t>。</w:t>
      </w:r>
    </w:p>
    <w:p w14:paraId="1B38D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Lines="0" w:line="600" w:lineRule="exact"/>
        <w:ind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bCs/>
          <w:color w:val="000000"/>
          <w:sz w:val="32"/>
          <w:szCs w:val="32"/>
          <w:lang w:val="zh-CN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（五）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细化殡仪馆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人员管理。</w:t>
      </w:r>
      <w:r>
        <w:rPr>
          <w:rFonts w:hint="eastAsia" w:ascii="微软雅黑" w:hAnsi="微软雅黑" w:eastAsia="微软雅黑" w:cs="微软雅黑"/>
          <w:b/>
          <w:bCs w:val="0"/>
          <w:color w:val="000000"/>
          <w:sz w:val="32"/>
          <w:szCs w:val="32"/>
          <w:lang w:val="zh-CN" w:eastAsia="zh-CN"/>
        </w:rPr>
        <w:t>一是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lang w:val="zh-CN" w:eastAsia="zh-CN"/>
        </w:rPr>
        <w:t>明确人员配备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32"/>
          <w:szCs w:val="32"/>
          <w:lang w:val="zh-CN" w:eastAsia="zh-CN"/>
        </w:rPr>
        <w:t>以及</w:t>
      </w:r>
      <w:r>
        <w:rPr>
          <w:rFonts w:hint="eastAsia" w:ascii="微软雅黑" w:hAnsi="微软雅黑" w:eastAsia="微软雅黑" w:cs="微软雅黑"/>
          <w:bCs/>
          <w:color w:val="000000"/>
          <w:sz w:val="32"/>
          <w:szCs w:val="32"/>
          <w:lang w:val="zh-CN" w:eastAsia="zh-CN"/>
        </w:rPr>
        <w:t>民政部门、殡仪馆对员工的教育培训要求（第</w:t>
      </w:r>
      <w:r>
        <w:rPr>
          <w:rFonts w:hint="eastAsia" w:ascii="微软雅黑" w:hAnsi="微软雅黑" w:eastAsia="微软雅黑" w:cs="微软雅黑"/>
          <w:bCs/>
          <w:color w:val="000000"/>
          <w:sz w:val="32"/>
          <w:szCs w:val="32"/>
          <w:lang w:val="zh-CN" w:eastAsia="zh-CN"/>
        </w:rPr>
        <w:t>三十八条、第三十九</w:t>
      </w:r>
      <w:r>
        <w:rPr>
          <w:rFonts w:hint="eastAsia" w:ascii="微软雅黑" w:hAnsi="微软雅黑" w:eastAsia="微软雅黑" w:cs="微软雅黑"/>
          <w:bCs/>
          <w:color w:val="000000"/>
          <w:sz w:val="32"/>
          <w:szCs w:val="32"/>
          <w:lang w:val="en-US" w:eastAsia="zh-CN"/>
        </w:rPr>
        <w:t>条</w:t>
      </w:r>
      <w:r>
        <w:rPr>
          <w:rFonts w:hint="eastAsia" w:ascii="微软雅黑" w:hAnsi="微软雅黑" w:eastAsia="微软雅黑" w:cs="微软雅黑"/>
          <w:bCs/>
          <w:color w:val="000000"/>
          <w:sz w:val="32"/>
          <w:szCs w:val="32"/>
          <w:lang w:val="zh-CN" w:eastAsia="zh-CN"/>
        </w:rPr>
        <w:t>）。</w:t>
      </w:r>
      <w:r>
        <w:rPr>
          <w:rFonts w:hint="eastAsia" w:ascii="微软雅黑" w:hAnsi="微软雅黑" w:eastAsia="微软雅黑" w:cs="微软雅黑"/>
          <w:b/>
          <w:bCs w:val="0"/>
          <w:color w:val="000000"/>
          <w:sz w:val="32"/>
          <w:szCs w:val="32"/>
          <w:lang w:val="zh-CN" w:eastAsia="zh-CN"/>
        </w:rPr>
        <w:t>二</w:t>
      </w:r>
      <w:r>
        <w:rPr>
          <w:rFonts w:hint="eastAsia" w:ascii="微软雅黑" w:hAnsi="微软雅黑" w:eastAsia="微软雅黑" w:cs="微软雅黑"/>
          <w:b/>
          <w:bCs w:val="0"/>
          <w:color w:val="000000"/>
          <w:sz w:val="32"/>
          <w:szCs w:val="32"/>
          <w:lang w:val="zh-CN" w:eastAsia="zh-CN"/>
        </w:rPr>
        <w:t>是</w:t>
      </w:r>
      <w:r>
        <w:rPr>
          <w:rFonts w:hint="eastAsia" w:ascii="微软雅黑" w:hAnsi="微软雅黑" w:eastAsia="微软雅黑" w:cs="微软雅黑"/>
          <w:bCs/>
          <w:color w:val="000000"/>
          <w:sz w:val="32"/>
          <w:szCs w:val="32"/>
          <w:lang w:val="zh-CN" w:eastAsia="zh-CN"/>
        </w:rPr>
        <w:t>明确殡仪馆专业建设方面的责任要求（第</w:t>
      </w:r>
      <w:r>
        <w:rPr>
          <w:rFonts w:hint="eastAsia" w:ascii="微软雅黑" w:hAnsi="微软雅黑" w:eastAsia="微软雅黑" w:cs="微软雅黑"/>
          <w:bCs/>
          <w:color w:val="000000"/>
          <w:sz w:val="32"/>
          <w:szCs w:val="32"/>
          <w:lang w:val="zh-CN" w:eastAsia="zh-CN"/>
        </w:rPr>
        <w:t>四十条</w:t>
      </w:r>
      <w:r>
        <w:rPr>
          <w:rFonts w:hint="eastAsia" w:ascii="微软雅黑" w:hAnsi="微软雅黑" w:eastAsia="微软雅黑" w:cs="微软雅黑"/>
          <w:bCs/>
          <w:color w:val="000000"/>
          <w:sz w:val="32"/>
          <w:szCs w:val="32"/>
          <w:lang w:val="zh-CN" w:eastAsia="zh-CN"/>
        </w:rPr>
        <w:t>）。</w:t>
      </w:r>
      <w:r>
        <w:rPr>
          <w:rFonts w:hint="eastAsia" w:ascii="微软雅黑" w:hAnsi="微软雅黑" w:eastAsia="微软雅黑" w:cs="微软雅黑"/>
          <w:b/>
          <w:bCs w:val="0"/>
          <w:color w:val="000000"/>
          <w:sz w:val="32"/>
          <w:szCs w:val="32"/>
          <w:lang w:val="zh-CN" w:eastAsia="zh-CN"/>
        </w:rPr>
        <w:t>三</w:t>
      </w:r>
      <w:r>
        <w:rPr>
          <w:rFonts w:hint="eastAsia" w:ascii="微软雅黑" w:hAnsi="微软雅黑" w:eastAsia="微软雅黑" w:cs="微软雅黑"/>
          <w:b/>
          <w:bCs w:val="0"/>
          <w:color w:val="000000"/>
          <w:sz w:val="32"/>
          <w:szCs w:val="32"/>
          <w:lang w:val="zh-CN" w:eastAsia="zh-CN"/>
        </w:rPr>
        <w:t>是</w:t>
      </w:r>
      <w:r>
        <w:rPr>
          <w:rFonts w:hint="eastAsia" w:ascii="微软雅黑" w:hAnsi="微软雅黑" w:eastAsia="微软雅黑" w:cs="微软雅黑"/>
          <w:bCs/>
          <w:color w:val="000000"/>
          <w:sz w:val="32"/>
          <w:szCs w:val="32"/>
          <w:lang w:val="zh-CN" w:eastAsia="zh-CN"/>
        </w:rPr>
        <w:t>明确</w:t>
      </w:r>
      <w:r>
        <w:rPr>
          <w:rFonts w:hint="eastAsia" w:ascii="微软雅黑" w:hAnsi="微软雅黑" w:eastAsia="微软雅黑" w:cs="微软雅黑"/>
          <w:bCs/>
          <w:color w:val="000000"/>
          <w:sz w:val="32"/>
          <w:szCs w:val="32"/>
          <w:lang w:val="zh-CN" w:eastAsia="zh-CN"/>
        </w:rPr>
        <w:t>重点岗位的交流轮岗、从业限制</w:t>
      </w:r>
      <w:r>
        <w:rPr>
          <w:rFonts w:hint="eastAsia" w:ascii="微软雅黑" w:hAnsi="微软雅黑" w:eastAsia="微软雅黑" w:cs="微软雅黑"/>
          <w:bCs/>
          <w:color w:val="000000"/>
          <w:sz w:val="32"/>
          <w:szCs w:val="32"/>
          <w:lang w:val="zh-CN" w:eastAsia="zh-CN"/>
        </w:rPr>
        <w:t>（第</w:t>
      </w:r>
      <w:r>
        <w:rPr>
          <w:rFonts w:hint="eastAsia" w:ascii="微软雅黑" w:hAnsi="微软雅黑" w:eastAsia="微软雅黑" w:cs="微软雅黑"/>
          <w:bCs/>
          <w:color w:val="000000"/>
          <w:sz w:val="32"/>
          <w:szCs w:val="32"/>
          <w:lang w:val="zh-CN" w:eastAsia="zh-CN"/>
        </w:rPr>
        <w:t>四十一</w:t>
      </w:r>
      <w:r>
        <w:rPr>
          <w:rFonts w:hint="eastAsia" w:ascii="微软雅黑" w:hAnsi="微软雅黑" w:eastAsia="微软雅黑" w:cs="微软雅黑"/>
          <w:bCs/>
          <w:color w:val="000000"/>
          <w:sz w:val="32"/>
          <w:szCs w:val="32"/>
          <w:lang w:val="en-US" w:eastAsia="zh-CN"/>
        </w:rPr>
        <w:t>条</w:t>
      </w:r>
      <w:r>
        <w:rPr>
          <w:rFonts w:hint="eastAsia" w:ascii="微软雅黑" w:hAnsi="微软雅黑" w:eastAsia="微软雅黑" w:cs="微软雅黑"/>
          <w:bCs/>
          <w:color w:val="000000"/>
          <w:sz w:val="32"/>
          <w:szCs w:val="32"/>
          <w:lang w:val="zh-CN" w:eastAsia="zh-CN"/>
        </w:rPr>
        <w:t>）。</w:t>
      </w:r>
      <w:r>
        <w:rPr>
          <w:rFonts w:hint="eastAsia" w:ascii="微软雅黑" w:hAnsi="微软雅黑" w:eastAsia="微软雅黑" w:cs="微软雅黑"/>
          <w:b/>
          <w:bCs w:val="0"/>
          <w:color w:val="000000"/>
          <w:sz w:val="32"/>
          <w:szCs w:val="32"/>
          <w:lang w:val="zh-CN" w:eastAsia="zh-CN"/>
        </w:rPr>
        <w:t>四</w:t>
      </w:r>
      <w:r>
        <w:rPr>
          <w:rFonts w:hint="eastAsia" w:ascii="微软雅黑" w:hAnsi="微软雅黑" w:eastAsia="微软雅黑" w:cs="微软雅黑"/>
          <w:b/>
          <w:bCs w:val="0"/>
          <w:color w:val="000000"/>
          <w:sz w:val="32"/>
          <w:szCs w:val="32"/>
          <w:lang w:val="zh-CN" w:eastAsia="zh-CN"/>
        </w:rPr>
        <w:t>是</w:t>
      </w:r>
      <w:r>
        <w:rPr>
          <w:rFonts w:hint="eastAsia" w:ascii="微软雅黑" w:hAnsi="微软雅黑" w:eastAsia="微软雅黑" w:cs="微软雅黑"/>
          <w:bCs/>
          <w:color w:val="000000"/>
          <w:sz w:val="32"/>
          <w:szCs w:val="32"/>
          <w:lang w:val="zh-CN" w:eastAsia="zh-CN"/>
        </w:rPr>
        <w:t>加强员工关爱和心理辅导，健全激励保障机制（第</w:t>
      </w:r>
      <w:r>
        <w:rPr>
          <w:rFonts w:hint="eastAsia" w:ascii="微软雅黑" w:hAnsi="微软雅黑" w:eastAsia="微软雅黑" w:cs="微软雅黑"/>
          <w:bCs/>
          <w:color w:val="000000"/>
          <w:sz w:val="32"/>
          <w:szCs w:val="32"/>
          <w:lang w:val="zh-CN" w:eastAsia="zh-CN"/>
        </w:rPr>
        <w:t>四十二</w:t>
      </w:r>
      <w:r>
        <w:rPr>
          <w:rFonts w:hint="eastAsia" w:ascii="微软雅黑" w:hAnsi="微软雅黑" w:eastAsia="微软雅黑" w:cs="微软雅黑"/>
          <w:bCs/>
          <w:color w:val="000000"/>
          <w:sz w:val="32"/>
          <w:szCs w:val="32"/>
          <w:lang w:val="en-US" w:eastAsia="zh-CN"/>
        </w:rPr>
        <w:t>条</w:t>
      </w:r>
      <w:r>
        <w:rPr>
          <w:rFonts w:hint="eastAsia" w:ascii="微软雅黑" w:hAnsi="微软雅黑" w:eastAsia="微软雅黑" w:cs="微软雅黑"/>
          <w:bCs/>
          <w:color w:val="000000"/>
          <w:sz w:val="32"/>
          <w:szCs w:val="32"/>
          <w:lang w:val="zh-CN" w:eastAsia="zh-CN"/>
        </w:rPr>
        <w:t>）。</w:t>
      </w:r>
    </w:p>
    <w:p w14:paraId="52D47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Lines="0" w:line="600" w:lineRule="exact"/>
        <w:ind w:firstLine="645"/>
        <w:jc w:val="both"/>
        <w:textAlignment w:val="auto"/>
        <w:outlineLvl w:val="9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（六）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明确殡仪馆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监督管理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措施</w:t>
      </w:r>
      <w:r>
        <w:rPr>
          <w:rFonts w:hint="eastAsia" w:ascii="微软雅黑" w:hAnsi="微软雅黑" w:eastAsia="微软雅黑" w:cs="微软雅黑"/>
          <w:b w:val="0"/>
          <w:bCs/>
          <w:sz w:val="32"/>
          <w:szCs w:val="32"/>
          <w:lang w:val="zh-CN"/>
        </w:rPr>
        <w:t>。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zh-CN"/>
        </w:rPr>
        <w:t>一是</w:t>
      </w:r>
      <w:r>
        <w:rPr>
          <w:rFonts w:hint="eastAsia" w:ascii="微软雅黑" w:hAnsi="微软雅黑" w:eastAsia="微软雅黑" w:cs="微软雅黑"/>
          <w:bCs/>
          <w:sz w:val="32"/>
          <w:szCs w:val="32"/>
          <w:lang w:val="zh-CN"/>
        </w:rPr>
        <w:t>明确</w:t>
      </w:r>
      <w:r>
        <w:rPr>
          <w:rFonts w:hint="eastAsia" w:ascii="微软雅黑" w:hAnsi="微软雅黑" w:eastAsia="微软雅黑" w:cs="微软雅黑"/>
          <w:bCs/>
          <w:color w:val="000000"/>
          <w:sz w:val="32"/>
          <w:szCs w:val="32"/>
          <w:lang w:eastAsia="zh-CN"/>
        </w:rPr>
        <w:t>民政部门应当加强对殡仪馆的监督检查，发现应由其他部门查处的违法违规行为的，应当及时通报</w:t>
      </w:r>
      <w:r>
        <w:rPr>
          <w:rFonts w:hint="eastAsia" w:ascii="微软雅黑" w:hAnsi="微软雅黑" w:eastAsia="微软雅黑" w:cs="微软雅黑"/>
          <w:bCs/>
          <w:sz w:val="32"/>
          <w:szCs w:val="32"/>
          <w:lang w:val="zh-CN"/>
        </w:rPr>
        <w:t>（第</w:t>
      </w:r>
      <w:r>
        <w:rPr>
          <w:rFonts w:hint="eastAsia" w:ascii="微软雅黑" w:hAnsi="微软雅黑" w:eastAsia="微软雅黑" w:cs="微软雅黑"/>
          <w:bCs/>
          <w:sz w:val="32"/>
          <w:szCs w:val="32"/>
          <w:lang w:val="zh-CN"/>
        </w:rPr>
        <w:t>四十三</w:t>
      </w:r>
      <w:r>
        <w:rPr>
          <w:rFonts w:hint="eastAsia" w:ascii="微软雅黑" w:hAnsi="微软雅黑" w:eastAsia="微软雅黑" w:cs="微软雅黑"/>
          <w:bCs/>
          <w:sz w:val="32"/>
          <w:szCs w:val="32"/>
          <w:lang w:val="en-US" w:eastAsia="zh-CN"/>
        </w:rPr>
        <w:t>条</w:t>
      </w:r>
      <w:r>
        <w:rPr>
          <w:rFonts w:hint="eastAsia" w:ascii="微软雅黑" w:hAnsi="微软雅黑" w:eastAsia="微软雅黑" w:cs="微软雅黑"/>
          <w:bCs/>
          <w:sz w:val="32"/>
          <w:szCs w:val="32"/>
          <w:lang w:val="zh-CN"/>
        </w:rPr>
        <w:t>）。</w:t>
      </w:r>
      <w:r>
        <w:rPr>
          <w:rFonts w:hint="eastAsia" w:ascii="微软雅黑" w:hAnsi="微软雅黑" w:eastAsia="微软雅黑" w:cs="微软雅黑"/>
          <w:b/>
          <w:bCs w:val="0"/>
          <w:sz w:val="32"/>
          <w:szCs w:val="32"/>
          <w:lang w:val="zh-CN"/>
        </w:rPr>
        <w:t>二是</w:t>
      </w:r>
      <w:r>
        <w:rPr>
          <w:rFonts w:hint="eastAsia" w:ascii="微软雅黑" w:hAnsi="微软雅黑" w:eastAsia="微软雅黑" w:cs="微软雅黑"/>
          <w:bCs/>
          <w:sz w:val="32"/>
          <w:szCs w:val="32"/>
          <w:lang w:val="zh-CN"/>
        </w:rPr>
        <w:t>明确民政部门对殡仪馆采取的检查方式、抽查检查、年度报告、权益保护、社会监督</w:t>
      </w:r>
      <w:r>
        <w:rPr>
          <w:rFonts w:hint="eastAsia" w:ascii="微软雅黑" w:hAnsi="微软雅黑" w:eastAsia="微软雅黑" w:cs="微软雅黑"/>
          <w:bCs/>
          <w:sz w:val="32"/>
          <w:szCs w:val="32"/>
          <w:lang w:val="zh-CN"/>
        </w:rPr>
        <w:t>等</w:t>
      </w:r>
      <w:r>
        <w:rPr>
          <w:rFonts w:hint="eastAsia" w:ascii="微软雅黑" w:hAnsi="微软雅黑" w:eastAsia="微软雅黑" w:cs="微软雅黑"/>
          <w:bCs/>
          <w:sz w:val="32"/>
          <w:szCs w:val="32"/>
          <w:lang w:val="zh-CN"/>
        </w:rPr>
        <w:t>（第</w:t>
      </w:r>
      <w:r>
        <w:rPr>
          <w:rFonts w:hint="eastAsia" w:ascii="微软雅黑" w:hAnsi="微软雅黑" w:eastAsia="微软雅黑" w:cs="微软雅黑"/>
          <w:bCs/>
          <w:sz w:val="32"/>
          <w:szCs w:val="32"/>
          <w:lang w:val="zh-CN"/>
        </w:rPr>
        <w:t>四十四条至第四十九</w:t>
      </w:r>
      <w:r>
        <w:rPr>
          <w:rFonts w:hint="eastAsia" w:ascii="微软雅黑" w:hAnsi="微软雅黑" w:eastAsia="微软雅黑" w:cs="微软雅黑"/>
          <w:bCs/>
          <w:sz w:val="32"/>
          <w:szCs w:val="32"/>
          <w:lang w:val="en-US" w:eastAsia="zh-CN"/>
        </w:rPr>
        <w:t>条</w:t>
      </w:r>
      <w:r>
        <w:rPr>
          <w:rFonts w:hint="eastAsia" w:ascii="微软雅黑" w:hAnsi="微软雅黑" w:eastAsia="微软雅黑" w:cs="微软雅黑"/>
          <w:bCs/>
          <w:sz w:val="32"/>
          <w:szCs w:val="32"/>
          <w:lang w:val="zh-CN"/>
        </w:rPr>
        <w:t>）。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br w:type="textWrapping"/>
      </w:r>
    </w:p>
    <w:p w14:paraId="1933B82D">
      <w:pPr>
        <w:pStyle w:val="2"/>
        <w:rPr>
          <w:rFonts w:hint="eastAsia" w:ascii="微软雅黑" w:hAnsi="微软雅黑" w:eastAsia="微软雅黑" w:cs="微软雅黑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8F7CBAB"/>
    <w:rsid w:val="1DE56CC8"/>
    <w:rsid w:val="31D85C80"/>
    <w:rsid w:val="32943604"/>
    <w:rsid w:val="3E7750F8"/>
    <w:rsid w:val="49113888"/>
    <w:rsid w:val="570F30D6"/>
    <w:rsid w:val="5AC60BF9"/>
    <w:rsid w:val="5E7AFF3F"/>
    <w:rsid w:val="60B8534F"/>
    <w:rsid w:val="7420296E"/>
    <w:rsid w:val="7FFFAE30"/>
    <w:rsid w:val="E8F7CBAB"/>
    <w:rsid w:val="FAF448FF"/>
    <w:rsid w:val="FE75B2C6"/>
    <w:rsid w:val="FF76259E"/>
    <w:rsid w:val="FFBC44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qFormat/>
    <w:uiPriority w:val="0"/>
    <w:pPr>
      <w:widowControl w:val="0"/>
      <w:ind w:firstLine="7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 2"/>
    <w:next w:val="1"/>
    <w:qFormat/>
    <w:uiPriority w:val="0"/>
    <w:pPr>
      <w:widowControl w:val="0"/>
      <w:tabs>
        <w:tab w:val="left" w:pos="720"/>
      </w:tabs>
      <w:spacing w:after="120"/>
      <w:ind w:left="200" w:leftChars="200" w:firstLine="420" w:firstLineChars="200"/>
      <w:jc w:val="both"/>
    </w:pPr>
    <w:rPr>
      <w:rFonts w:ascii="仿宋_GB2312" w:hAnsi="Times New Roman" w:eastAsia="仿宋_GB2312" w:cs="Times New Roman"/>
      <w:kern w:val="2"/>
      <w:sz w:val="28"/>
      <w:szCs w:val="32"/>
      <w:lang w:val="en-US" w:eastAsia="zh-CN" w:bidi="ar-SA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3911</Words>
  <Characters>3962</Characters>
  <Lines>0</Lines>
  <Paragraphs>0</Paragraphs>
  <TotalTime>12</TotalTime>
  <ScaleCrop>false</ScaleCrop>
  <LinksUpToDate>false</LinksUpToDate>
  <CharactersWithSpaces>4108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2026-05-16T02:33:00Z</dcterms:created>
  <dc:creator>金婧怡</dc:creator>
  <cp:lastModifiedBy>Jia</cp:lastModifiedBy>
  <cp:lastPrinted>2026-05-15T22:07:00Z</cp:lastPrinted>
  <dcterms:modified xsi:type="dcterms:W3CDTF">2026-05-15T07:26:23Z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B94FD033C8B34E799F923E0BECF60D95_13</vt:lpwstr>
  </property>
  <property fmtid="{D5CDD505-2E9C-101B-9397-08002B2CF9AE}" pid="4" name="KSOTemplateDocerSaveRecord">
    <vt:lpwstr>eyJoZGlkIjoiNGUxNWJjYTM4M2FkYWIxMjk4YjBkY2JmNWZkNzM2NTYiLCJ1c2VySWQiOiIyNjg1NzM1NjYifQ==</vt:lpwstr>
  </property>
</Properties>
</file>