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平顶山市民政局</w:t>
      </w: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lang w:eastAsia="zh-CN"/>
        </w:rPr>
        <w:t>重大行政决策目录</w:t>
      </w:r>
    </w:p>
    <w:p>
      <w:pPr>
        <w:rPr>
          <w:rFonts w:hint="eastAsia" w:ascii="黑体" w:hAnsi="黑体" w:eastAsia="黑体" w:cs="黑体"/>
          <w:sz w:val="32"/>
          <w:szCs w:val="32"/>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2" w:hRule="atLeast"/>
        </w:trPr>
        <w:tc>
          <w:tcPr>
            <w:tcW w:w="2235" w:type="dxa"/>
            <w:noWrap w:val="0"/>
            <w:vAlign w:val="top"/>
          </w:tcPr>
          <w:p>
            <w:pPr>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项目名称</w:t>
            </w:r>
          </w:p>
        </w:tc>
        <w:tc>
          <w:tcPr>
            <w:tcW w:w="6287" w:type="dxa"/>
            <w:noWrap w:val="0"/>
            <w:vAlign w:val="top"/>
          </w:tcPr>
          <w:p>
            <w:pPr>
              <w:rPr>
                <w:rFonts w:hint="eastAsia" w:ascii="黑体" w:hAnsi="黑体" w:eastAsia="黑体" w:cs="黑体"/>
                <w:sz w:val="32"/>
                <w:szCs w:val="32"/>
                <w:vertAlign w:val="baseline"/>
                <w:lang w:eastAsia="zh-CN"/>
              </w:rPr>
            </w:pPr>
            <w:r>
              <w:rPr>
                <w:rFonts w:hint="eastAsia" w:ascii="仿宋_GB2312" w:hAnsi="仿宋_GB2312" w:eastAsia="仿宋_GB2312" w:cs="仿宋_GB2312"/>
                <w:sz w:val="32"/>
                <w:szCs w:val="32"/>
                <w:lang w:eastAsia="zh-CN"/>
              </w:rPr>
              <w:t>平顶山市殡葬设施建设规划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35" w:type="dxa"/>
            <w:noWrap w:val="0"/>
            <w:vAlign w:val="top"/>
          </w:tcPr>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必要性及依据</w:t>
            </w:r>
          </w:p>
        </w:tc>
        <w:tc>
          <w:tcPr>
            <w:tcW w:w="6287" w:type="dxa"/>
            <w:noWrap w:val="0"/>
            <w:vAlign w:val="top"/>
          </w:tcPr>
          <w:p>
            <w:pPr>
              <w:rPr>
                <w:rFonts w:hint="eastAsia" w:ascii="黑体" w:hAnsi="黑体" w:eastAsia="黑体" w:cs="黑体"/>
                <w:sz w:val="32"/>
                <w:szCs w:val="32"/>
                <w:vertAlign w:val="baseline"/>
                <w:lang w:eastAsia="zh-CN"/>
              </w:rPr>
            </w:pPr>
            <w:r>
              <w:rPr>
                <w:rFonts w:hint="eastAsia" w:ascii="仿宋_GB2312" w:hAnsi="仿宋_GB2312" w:eastAsia="仿宋_GB2312" w:cs="仿宋_GB2312"/>
                <w:sz w:val="32"/>
                <w:szCs w:val="32"/>
                <w:lang w:eastAsia="zh-CN"/>
              </w:rPr>
              <w:t>深入贯彻落实习近平总书记重要指示批示精神，有效解必要性及依据决殡葬设施供需矛盾，满足城乡居民逝后安葬和治丧需求，进一步提升殡葬服务能力和水平。依据：《河南省民政厅河南省发展和改革委员会河南省财政厅河南省自然资源厅河南省林业局关于开展殡葬设施建设规划编制工作的通知》（豫民文〔2025〕163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35" w:type="dxa"/>
            <w:noWrap w:val="0"/>
            <w:vAlign w:val="top"/>
          </w:tcPr>
          <w:p>
            <w:pP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拟完成时间</w:t>
            </w:r>
          </w:p>
        </w:tc>
        <w:tc>
          <w:tcPr>
            <w:tcW w:w="6287" w:type="dxa"/>
            <w:noWrap w:val="0"/>
            <w:vAlign w:val="top"/>
          </w:tcPr>
          <w:p>
            <w:pPr>
              <w:rPr>
                <w:rFonts w:hint="default" w:ascii="黑体" w:hAnsi="黑体" w:eastAsia="黑体" w:cs="黑体"/>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2026年底</w:t>
            </w:r>
          </w:p>
        </w:tc>
      </w:tr>
    </w:tbl>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6BDBE5FC"/>
    <w:rsid w:val="7EBEC8F9"/>
    <w:rsid w:val="7F4627DB"/>
    <w:rsid w:val="D5E7FB1D"/>
    <w:rsid w:val="DD8BA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Ukulele</cp:lastModifiedBy>
  <dcterms:modified xsi:type="dcterms:W3CDTF">2026-06-24T10:31:19Z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